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A841D">
      <w:pPr>
        <w:pStyle w:val="80"/>
        <w:jc w:val="both"/>
        <w:rPr>
          <w:rFonts w:hint="default" w:ascii="Times New Roman" w:hAnsi="Times New Roman" w:cs="Times New Roman" w:eastAsiaTheme="minorEastAsia"/>
          <w:b/>
          <w:bCs/>
          <w:sz w:val="22"/>
          <w:szCs w:val="22"/>
          <w:lang w:val="en-US" w:eastAsia="zh-CN"/>
        </w:rPr>
      </w:pPr>
      <w:r>
        <w:rPr>
          <w:rFonts w:hint="default" w:ascii="Times New Roman" w:hAnsi="Times New Roman" w:cs="Times New Roman"/>
          <w:b/>
          <w:bCs/>
          <w:sz w:val="22"/>
          <w:szCs w:val="22"/>
        </w:rPr>
        <w:t>3GPP TSG RAN WG1 #1</w:t>
      </w:r>
      <w:r>
        <w:rPr>
          <w:rFonts w:hint="default" w:ascii="Times New Roman" w:hAnsi="Times New Roman" w:cs="Times New Roman"/>
          <w:b/>
          <w:bCs/>
          <w:sz w:val="22"/>
          <w:szCs w:val="22"/>
          <w:lang w:val="en-US" w:eastAsia="zh-CN"/>
        </w:rPr>
        <w:t>20bis</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lang w:eastAsia="zh-CN"/>
        </w:rPr>
        <w:t xml:space="preserve"> </w:t>
      </w:r>
      <w:r>
        <w:rPr>
          <w:rFonts w:hint="default" w:ascii="Times New Roman" w:hAnsi="Times New Roman" w:cs="Times New Roman"/>
          <w:b/>
          <w:bCs/>
          <w:sz w:val="22"/>
          <w:szCs w:val="22"/>
          <w:lang w:val="en-US" w:eastAsia="zh-CN"/>
        </w:rPr>
        <w:t xml:space="preserve">      </w:t>
      </w:r>
      <w:r>
        <w:rPr>
          <w:rFonts w:hint="default" w:ascii="Times New Roman" w:hAnsi="Times New Roman" w:cs="Times New Roman"/>
          <w:b/>
          <w:bCs/>
          <w:sz w:val="22"/>
          <w:szCs w:val="22"/>
        </w:rPr>
        <w:t xml:space="preserve">  R1-2</w:t>
      </w:r>
      <w:r>
        <w:rPr>
          <w:rFonts w:hint="default" w:ascii="Times New Roman" w:hAnsi="Times New Roman" w:cs="Times New Roman"/>
          <w:b/>
          <w:bCs/>
          <w:sz w:val="22"/>
          <w:szCs w:val="22"/>
          <w:lang w:val="en-US" w:eastAsia="zh-CN"/>
        </w:rPr>
        <w:t>50</w:t>
      </w:r>
      <w:r>
        <w:rPr>
          <w:rFonts w:hint="eastAsia" w:ascii="Times New Roman" w:hAnsi="Times New Roman" w:cs="Times New Roman"/>
          <w:b/>
          <w:bCs/>
          <w:sz w:val="22"/>
          <w:szCs w:val="22"/>
          <w:lang w:val="en-US" w:eastAsia="zh-CN"/>
        </w:rPr>
        <w:t>2575</w:t>
      </w:r>
    </w:p>
    <w:p w14:paraId="23A182E0">
      <w:pPr>
        <w:tabs>
          <w:tab w:val="center" w:pos="4536"/>
          <w:tab w:val="right" w:pos="9072"/>
        </w:tabs>
        <w:rPr>
          <w:rFonts w:hint="default" w:ascii="Times New Roman" w:hAnsi="Times New Roman" w:eastAsia="MS Mincho" w:cs="Times New Roman"/>
          <w:b/>
          <w:bCs/>
          <w:sz w:val="22"/>
          <w:szCs w:val="22"/>
          <w:lang w:eastAsia="ja-JP"/>
        </w:rPr>
      </w:pPr>
      <w:bookmarkStart w:id="0" w:name="OLE_LINK33"/>
      <w:bookmarkStart w:id="1" w:name="OLE_LINK34"/>
      <w:r>
        <w:rPr>
          <w:rFonts w:hint="default" w:ascii="Times New Roman" w:hAnsi="Times New Roman" w:eastAsia="宋体" w:cs="Times New Roman"/>
          <w:b/>
          <w:bCs/>
          <w:sz w:val="22"/>
          <w:szCs w:val="22"/>
          <w:lang w:val="en-US" w:eastAsia="zh-CN"/>
        </w:rPr>
        <w:t>Wuhan</w:t>
      </w:r>
      <w:r>
        <w:rPr>
          <w:rFonts w:hint="default" w:ascii="Times New Roman" w:hAnsi="Times New Roman" w:eastAsia="MS Mincho" w:cs="Times New Roman"/>
          <w:b/>
          <w:bCs/>
          <w:sz w:val="22"/>
          <w:szCs w:val="22"/>
          <w:lang w:eastAsia="ja-JP"/>
        </w:rPr>
        <w:t xml:space="preserve">, </w:t>
      </w:r>
      <w:r>
        <w:rPr>
          <w:rFonts w:hint="default" w:ascii="Times New Roman" w:hAnsi="Times New Roman" w:eastAsia="宋体" w:cs="Times New Roman"/>
          <w:b/>
          <w:bCs/>
          <w:sz w:val="22"/>
          <w:szCs w:val="22"/>
          <w:lang w:val="en-US" w:eastAsia="zh-CN"/>
        </w:rPr>
        <w:t>China</w:t>
      </w:r>
      <w:r>
        <w:rPr>
          <w:rFonts w:hint="default" w:ascii="Times New Roman" w:hAnsi="Times New Roman" w:eastAsia="MS Mincho" w:cs="Times New Roman"/>
          <w:b/>
          <w:bCs/>
          <w:sz w:val="22"/>
          <w:szCs w:val="22"/>
          <w:lang w:eastAsia="ja-JP"/>
        </w:rPr>
        <w:t xml:space="preserve">, </w:t>
      </w:r>
      <w:r>
        <w:rPr>
          <w:rFonts w:hint="default" w:ascii="Times New Roman" w:hAnsi="Times New Roman" w:eastAsia="宋体" w:cs="Times New Roman"/>
          <w:b/>
          <w:bCs/>
          <w:sz w:val="22"/>
          <w:szCs w:val="22"/>
          <w:lang w:val="en-US" w:eastAsia="zh-CN"/>
        </w:rPr>
        <w:t>April</w:t>
      </w:r>
      <w:r>
        <w:rPr>
          <w:rFonts w:hint="default" w:ascii="Times New Roman" w:hAnsi="Times New Roman" w:eastAsia="Malgun Gothic" w:cs="Times New Roman"/>
          <w:b/>
          <w:bCs/>
          <w:sz w:val="22"/>
          <w:szCs w:val="22"/>
          <w:lang w:eastAsia="ko-KR"/>
        </w:rPr>
        <w:t xml:space="preserve"> </w:t>
      </w:r>
      <w:r>
        <w:rPr>
          <w:rFonts w:hint="default" w:ascii="Times New Roman" w:hAnsi="Times New Roman" w:eastAsia="MS Mincho" w:cs="Times New Roman"/>
          <w:b/>
          <w:bCs/>
          <w:sz w:val="22"/>
          <w:szCs w:val="22"/>
          <w:lang w:eastAsia="ja-JP"/>
        </w:rPr>
        <w:t>7</w:t>
      </w:r>
      <w:r>
        <w:rPr>
          <w:rFonts w:hint="default" w:ascii="Times New Roman" w:hAnsi="Times New Roman" w:eastAsia="Malgun Gothic" w:cs="Times New Roman"/>
          <w:b/>
          <w:bCs/>
          <w:sz w:val="22"/>
          <w:szCs w:val="22"/>
          <w:vertAlign w:val="superscript"/>
          <w:lang w:eastAsia="ko-KR"/>
        </w:rPr>
        <w:t>th</w:t>
      </w:r>
      <w:r>
        <w:rPr>
          <w:rFonts w:hint="default" w:ascii="Times New Roman" w:hAnsi="Times New Roman" w:eastAsia="MS Mincho" w:cs="Times New Roman"/>
          <w:b/>
          <w:bCs/>
          <w:sz w:val="22"/>
          <w:szCs w:val="22"/>
          <w:lang w:eastAsia="ja-JP"/>
        </w:rPr>
        <w:t xml:space="preserve"> </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lang w:val="en-US" w:eastAsia="zh-CN"/>
        </w:rPr>
        <w:t>1</w:t>
      </w:r>
      <w:r>
        <w:rPr>
          <w:rFonts w:hint="default" w:ascii="Times New Roman" w:hAnsi="Times New Roman" w:cs="Times New Roman"/>
          <w:b/>
          <w:bCs/>
          <w:sz w:val="22"/>
          <w:szCs w:val="22"/>
        </w:rPr>
        <w:t>1</w:t>
      </w:r>
      <w:r>
        <w:rPr>
          <w:rFonts w:hint="default" w:ascii="Times New Roman" w:hAnsi="Times New Roman" w:cs="Times New Roman"/>
          <w:b/>
          <w:bCs/>
          <w:sz w:val="22"/>
          <w:szCs w:val="22"/>
          <w:vertAlign w:val="superscript"/>
        </w:rPr>
        <w:t>t</w:t>
      </w:r>
      <w:r>
        <w:rPr>
          <w:rFonts w:hint="default" w:ascii="Times New Roman" w:hAnsi="Times New Roman" w:cs="Times New Roman"/>
          <w:b/>
          <w:bCs/>
          <w:sz w:val="22"/>
          <w:szCs w:val="22"/>
          <w:vertAlign w:val="superscript"/>
          <w:lang w:val="en-US" w:eastAsia="zh-CN"/>
        </w:rPr>
        <w:t>h</w:t>
      </w:r>
      <w:r>
        <w:rPr>
          <w:rFonts w:hint="default" w:ascii="Times New Roman" w:hAnsi="Times New Roman" w:eastAsia="MS Mincho" w:cs="Times New Roman"/>
          <w:b/>
          <w:bCs/>
          <w:sz w:val="22"/>
          <w:szCs w:val="22"/>
          <w:lang w:eastAsia="ja-JP"/>
        </w:rPr>
        <w:t>, 2025</w:t>
      </w:r>
    </w:p>
    <w:p w14:paraId="1CBB5EF5">
      <w:pPr>
        <w:tabs>
          <w:tab w:val="right" w:pos="9360"/>
        </w:tabs>
        <w:spacing w:after="0"/>
        <w:jc w:val="both"/>
        <w:rPr>
          <w:rFonts w:hint="default" w:ascii="Times New Roman" w:hAnsi="Times New Roman" w:eastAsia="MS Mincho" w:cs="Times New Roman"/>
          <w:b/>
          <w:sz w:val="22"/>
          <w:szCs w:val="22"/>
        </w:rPr>
      </w:pPr>
    </w:p>
    <w:p w14:paraId="1509908A">
      <w:pPr>
        <w:pStyle w:val="50"/>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Source:               TCL</w:t>
      </w:r>
    </w:p>
    <w:p w14:paraId="2AFABC53">
      <w:pPr>
        <w:pStyle w:val="50"/>
        <w:tabs>
          <w:tab w:val="clear" w:pos="4536"/>
        </w:tabs>
        <w:jc w:val="both"/>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rPr>
        <w:t xml:space="preserve">Title:                  </w:t>
      </w:r>
      <w:bookmarkStart w:id="2" w:name="OLE_LINK19"/>
      <w:r>
        <w:rPr>
          <w:rFonts w:hint="default" w:ascii="Times New Roman" w:hAnsi="Times New Roman" w:cs="Times New Roman"/>
          <w:sz w:val="22"/>
          <w:szCs w:val="22"/>
        </w:rPr>
        <w:t xml:space="preserve">  </w:t>
      </w:r>
      <w:bookmarkEnd w:id="2"/>
      <w:r>
        <w:rPr>
          <w:rFonts w:hint="default" w:ascii="Times New Roman" w:hAnsi="Times New Roman" w:eastAsia="宋体" w:cs="Times New Roman"/>
          <w:sz w:val="22"/>
          <w:szCs w:val="22"/>
          <w:lang w:val="en-US" w:eastAsia="zh-CN"/>
        </w:rPr>
        <w:t>Low band carrier aggregation via switching</w:t>
      </w:r>
    </w:p>
    <w:p w14:paraId="70178CD9">
      <w:pPr>
        <w:pStyle w:val="50"/>
        <w:tabs>
          <w:tab w:val="clear" w:pos="4536"/>
        </w:tabs>
        <w:jc w:val="both"/>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rPr>
        <w:t>Agenda item:      9.1</w:t>
      </w:r>
      <w:r>
        <w:rPr>
          <w:rFonts w:hint="default" w:ascii="Times New Roman" w:hAnsi="Times New Roman" w:eastAsia="宋体" w:cs="Times New Roman"/>
          <w:sz w:val="22"/>
          <w:szCs w:val="22"/>
          <w:lang w:eastAsia="zh-CN"/>
        </w:rPr>
        <w:t>2</w:t>
      </w:r>
      <w:r>
        <w:rPr>
          <w:rFonts w:hint="default" w:ascii="Times New Roman" w:hAnsi="Times New Roman" w:cs="Times New Roman"/>
          <w:sz w:val="22"/>
          <w:szCs w:val="22"/>
        </w:rPr>
        <w:t>.</w:t>
      </w:r>
      <w:r>
        <w:rPr>
          <w:rFonts w:hint="default" w:ascii="Times New Roman" w:hAnsi="Times New Roman" w:eastAsia="宋体" w:cs="Times New Roman"/>
          <w:sz w:val="22"/>
          <w:szCs w:val="22"/>
          <w:lang w:val="en-US" w:eastAsia="zh-CN"/>
        </w:rPr>
        <w:t>2</w:t>
      </w:r>
    </w:p>
    <w:p w14:paraId="528352B9">
      <w:pPr>
        <w:pStyle w:val="50"/>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Document for:    Discussion and Decision</w:t>
      </w:r>
      <w:bookmarkEnd w:id="0"/>
      <w:bookmarkEnd w:id="1"/>
    </w:p>
    <w:p w14:paraId="130960A5">
      <w:pPr>
        <w:pBdr>
          <w:bottom w:val="single" w:color="auto" w:sz="4" w:space="1"/>
        </w:pBdr>
        <w:tabs>
          <w:tab w:val="left" w:pos="2552"/>
        </w:tabs>
        <w:jc w:val="both"/>
        <w:rPr>
          <w:rFonts w:hint="default" w:ascii="Times New Roman" w:hAnsi="Times New Roman" w:cs="Times New Roman"/>
          <w:sz w:val="22"/>
          <w:szCs w:val="22"/>
        </w:rPr>
      </w:pPr>
    </w:p>
    <w:p w14:paraId="69CD60D2">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宋体" w:cs="Times New Roman"/>
          <w:color w:val="auto"/>
          <w:sz w:val="22"/>
          <w:szCs w:val="22"/>
        </w:rPr>
      </w:pPr>
      <w:r>
        <w:rPr>
          <w:rFonts w:hint="default" w:ascii="Times New Roman" w:hAnsi="Times New Roman" w:eastAsia="黑体" w:cs="Times New Roman"/>
          <w:b/>
          <w:bCs/>
          <w:color w:val="auto"/>
          <w:sz w:val="22"/>
          <w:szCs w:val="22"/>
        </w:rPr>
        <w:t>Introduction</w:t>
      </w:r>
    </w:p>
    <w:p w14:paraId="0708520D">
      <w:pPr>
        <w:widowControl w:val="0"/>
        <w:spacing w:after="120"/>
        <w:jc w:val="both"/>
        <w:rPr>
          <w:rFonts w:hint="default" w:ascii="Times New Roman" w:hAnsi="Times New Roman" w:cs="Times New Roman"/>
          <w:sz w:val="22"/>
          <w:szCs w:val="22"/>
          <w:lang w:eastAsia="zh-CN"/>
        </w:rPr>
      </w:pPr>
      <w:r>
        <w:rPr>
          <w:rFonts w:hint="default" w:ascii="Times New Roman" w:hAnsi="Times New Roman" w:cs="Times New Roman"/>
          <w:sz w:val="22"/>
          <w:szCs w:val="22"/>
        </w:rPr>
        <w:t>In</w:t>
      </w:r>
      <w:r>
        <w:rPr>
          <w:rFonts w:hint="default" w:ascii="Times New Roman" w:hAnsi="Times New Roman" w:cs="Times New Roman"/>
          <w:sz w:val="22"/>
          <w:szCs w:val="22"/>
          <w:lang w:eastAsia="zh-CN"/>
        </w:rPr>
        <w:t xml:space="preserve"> the </w:t>
      </w:r>
      <w:r>
        <w:rPr>
          <w:rFonts w:hint="default" w:ascii="Times New Roman" w:hAnsi="Times New Roman" w:cs="Times New Roman"/>
          <w:sz w:val="22"/>
          <w:szCs w:val="22"/>
        </w:rPr>
        <w:t xml:space="preserve">RAN </w:t>
      </w:r>
      <w:r>
        <w:rPr>
          <w:rFonts w:hint="default" w:ascii="Times New Roman" w:hAnsi="Times New Roman" w:cs="Times New Roman"/>
          <w:sz w:val="22"/>
          <w:szCs w:val="22"/>
          <w:lang w:eastAsia="zh-CN"/>
        </w:rPr>
        <w:t>#10</w:t>
      </w:r>
      <w:r>
        <w:rPr>
          <w:rFonts w:hint="default" w:ascii="Times New Roman" w:hAnsi="Times New Roman" w:cs="Times New Roman"/>
          <w:sz w:val="22"/>
          <w:szCs w:val="22"/>
          <w:lang w:val="en-US" w:eastAsia="zh-CN"/>
        </w:rPr>
        <w:t>7</w:t>
      </w:r>
      <w:r>
        <w:rPr>
          <w:rFonts w:hint="default" w:ascii="Times New Roman" w:hAnsi="Times New Roman" w:cs="Times New Roman"/>
          <w:sz w:val="22"/>
          <w:szCs w:val="22"/>
          <w:lang w:eastAsia="zh-CN"/>
        </w:rPr>
        <w:t xml:space="preserve"> meeting,</w:t>
      </w:r>
      <w:r>
        <w:rPr>
          <w:rFonts w:hint="default" w:ascii="Times New Roman" w:hAnsi="Times New Roman" w:eastAsia="宋体" w:cs="Times New Roman"/>
          <w:color w:val="000000"/>
          <w:sz w:val="22"/>
          <w:szCs w:val="22"/>
          <w:lang w:eastAsia="zh-CN"/>
        </w:rPr>
        <w:t xml:space="preserve"> </w:t>
      </w:r>
      <w:r>
        <w:rPr>
          <w:rFonts w:hint="default" w:ascii="Times New Roman" w:hAnsi="Times New Roman" w:cs="Times New Roman"/>
          <w:b w:val="0"/>
          <w:bCs w:val="0"/>
          <w:sz w:val="22"/>
          <w:szCs w:val="22"/>
          <w:lang w:eastAsia="zh-CN"/>
        </w:rPr>
        <w:t>a</w:t>
      </w:r>
      <w:r>
        <w:rPr>
          <w:rFonts w:hint="default" w:ascii="Times New Roman" w:hAnsi="Times New Roman" w:cs="Times New Roman"/>
          <w:b w:val="0"/>
          <w:bCs w:val="0"/>
          <w:sz w:val="22"/>
          <w:szCs w:val="22"/>
          <w:lang w:val="en-US" w:eastAsia="zh-CN"/>
        </w:rPr>
        <w:t>n</w:t>
      </w:r>
      <w:r>
        <w:rPr>
          <w:rFonts w:hint="default" w:ascii="Times New Roman" w:hAnsi="Times New Roman" w:cs="Times New Roman"/>
          <w:b w:val="0"/>
          <w:bCs w:val="0"/>
          <w:sz w:val="22"/>
          <w:szCs w:val="22"/>
          <w:lang w:eastAsia="zh-CN"/>
        </w:rPr>
        <w:t xml:space="preserve"> </w:t>
      </w:r>
      <w:r>
        <w:rPr>
          <w:rFonts w:hint="default" w:ascii="Times New Roman" w:hAnsi="Times New Roman" w:cs="Times New Roman"/>
          <w:b w:val="0"/>
          <w:bCs w:val="0"/>
          <w:sz w:val="22"/>
          <w:szCs w:val="22"/>
          <w:lang w:val="en-US" w:eastAsia="zh-CN"/>
        </w:rPr>
        <w:t xml:space="preserve">revised </w:t>
      </w:r>
      <w:r>
        <w:rPr>
          <w:rFonts w:hint="default" w:ascii="Times New Roman" w:hAnsi="Times New Roman" w:cs="Times New Roman"/>
          <w:b w:val="0"/>
          <w:bCs w:val="0"/>
          <w:sz w:val="22"/>
          <w:szCs w:val="22"/>
          <w:lang w:eastAsia="zh-CN"/>
        </w:rPr>
        <w:t>WID</w:t>
      </w:r>
      <w:r>
        <w:rPr>
          <w:rFonts w:hint="default" w:ascii="Times New Roman" w:hAnsi="Times New Roman" w:cs="Times New Roman"/>
          <w:sz w:val="22"/>
          <w:szCs w:val="22"/>
          <w:lang w:eastAsia="zh-CN"/>
        </w:rPr>
        <w:t xml:space="preserve"> on Rel-19 </w:t>
      </w:r>
      <w:r>
        <w:rPr>
          <w:rFonts w:hint="default" w:ascii="Times New Roman" w:hAnsi="Times New Roman" w:cs="Times New Roman"/>
          <w:sz w:val="22"/>
          <w:szCs w:val="22"/>
          <w:lang w:val="en-US" w:eastAsia="zh-CN"/>
        </w:rPr>
        <w:t>low band carrier aggregation via switching</w:t>
      </w:r>
      <w:r>
        <w:rPr>
          <w:rFonts w:hint="default" w:ascii="Times New Roman" w:hAnsi="Times New Roman" w:cs="Times New Roman"/>
          <w:sz w:val="22"/>
          <w:szCs w:val="22"/>
          <w:lang w:eastAsia="zh-CN"/>
        </w:rPr>
        <w:t xml:space="preserve"> was approved [1], </w:t>
      </w:r>
      <w:r>
        <w:rPr>
          <w:rFonts w:hint="default" w:ascii="Times New Roman" w:hAnsi="Times New Roman" w:cs="Times New Roman"/>
          <w:sz w:val="22"/>
          <w:szCs w:val="22"/>
        </w:rPr>
        <w:t>the objectives of the WID are shown below:</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509C2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14:paraId="1E22A1A1">
            <w:pPr>
              <w:spacing w:after="0"/>
              <w:rPr>
                <w:rFonts w:hint="default" w:ascii="Times New Roman" w:hAnsi="Times New Roman" w:cs="Times New Roman"/>
                <w:bCs/>
                <w:sz w:val="22"/>
                <w:szCs w:val="22"/>
              </w:rPr>
            </w:pPr>
            <w:r>
              <w:rPr>
                <w:rFonts w:hint="default" w:ascii="Times New Roman" w:hAnsi="Times New Roman" w:cs="Times New Roman"/>
                <w:bCs/>
                <w:sz w:val="22"/>
                <w:szCs w:val="22"/>
              </w:rPr>
              <w:t>Introduce physical layer procedures and requirements to enable low band carrier aggregation via switching according to the following objectives:</w:t>
            </w:r>
          </w:p>
          <w:p w14:paraId="4C1F354B">
            <w:pPr>
              <w:pStyle w:val="92"/>
              <w:rPr>
                <w:rFonts w:hint="default" w:ascii="Times New Roman" w:hAnsi="Times New Roman" w:cs="Times New Roman"/>
                <w:sz w:val="22"/>
                <w:szCs w:val="22"/>
              </w:rPr>
            </w:pPr>
            <w:r>
              <w:rPr>
                <w:rFonts w:hint="default" w:ascii="Times New Roman" w:hAnsi="Times New Roman" w:cs="Times New Roman"/>
                <w:bCs/>
                <w:sz w:val="22"/>
                <w:szCs w:val="22"/>
              </w:rPr>
              <w:t>-</w:t>
            </w:r>
            <w:r>
              <w:rPr>
                <w:rFonts w:hint="default" w:ascii="Times New Roman" w:hAnsi="Times New Roman" w:cs="Times New Roman"/>
                <w:bCs/>
                <w:sz w:val="22"/>
                <w:szCs w:val="22"/>
              </w:rPr>
              <w:tab/>
            </w:r>
            <w:r>
              <w:rPr>
                <w:rFonts w:hint="default" w:ascii="Times New Roman" w:hAnsi="Times New Roman" w:cs="Times New Roman"/>
                <w:sz w:val="22"/>
                <w:szCs w:val="22"/>
              </w:rPr>
              <w:t>Specify UE requirements, including at least switching gap (if needed), and corresponding physical layer procedures to allow switching between {case 1, case 2} [RAN4, RAN1]</w:t>
            </w:r>
          </w:p>
          <w:p w14:paraId="644C5922">
            <w:pPr>
              <w:pStyle w:val="95"/>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sz w:val="22"/>
                <w:szCs w:val="22"/>
              </w:rPr>
              <w:tab/>
            </w:r>
            <w:r>
              <w:rPr>
                <w:rFonts w:hint="default" w:ascii="Times New Roman" w:hAnsi="Times New Roman" w:cs="Times New Roman"/>
                <w:sz w:val="22"/>
                <w:szCs w:val="22"/>
              </w:rPr>
              <w:t>Case 1: Tx/Rx on FDD carrier 1 and no Rx on SDL carrier 2</w:t>
            </w:r>
          </w:p>
          <w:p w14:paraId="262D2CDE">
            <w:pPr>
              <w:pStyle w:val="95"/>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sz w:val="22"/>
                <w:szCs w:val="22"/>
              </w:rPr>
              <w:tab/>
            </w:r>
            <w:r>
              <w:rPr>
                <w:rFonts w:hint="default" w:ascii="Times New Roman" w:hAnsi="Times New Roman" w:cs="Times New Roman"/>
                <w:sz w:val="22"/>
                <w:szCs w:val="22"/>
              </w:rPr>
              <w:t>Case 2: Rx on SDL carrier 2 and no Tx/Rx on FDD carrier 1</w:t>
            </w:r>
          </w:p>
          <w:p w14:paraId="363E026C">
            <w:pPr>
              <w:pStyle w:val="95"/>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sz w:val="22"/>
                <w:szCs w:val="22"/>
              </w:rPr>
              <w:tab/>
            </w:r>
            <w:r>
              <w:rPr>
                <w:rFonts w:hint="default" w:ascii="Times New Roman" w:hAnsi="Times New Roman" w:cs="Times New Roman"/>
                <w:sz w:val="22"/>
                <w:szCs w:val="22"/>
              </w:rPr>
              <w:t>RAN1 to specify only a semi-static switching pattern based on RRC configuration, liaising with RAN2 and RAN4 as necessary</w:t>
            </w:r>
          </w:p>
          <w:p w14:paraId="13BDEB77">
            <w:pPr>
              <w:pStyle w:val="95"/>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sz w:val="22"/>
                <w:szCs w:val="22"/>
              </w:rPr>
              <w:tab/>
            </w:r>
            <w:r>
              <w:rPr>
                <w:rFonts w:hint="default" w:ascii="Times New Roman" w:hAnsi="Times New Roman" w:cs="Times New Roman"/>
                <w:sz w:val="22"/>
                <w:szCs w:val="22"/>
              </w:rPr>
              <w:t>Specify the switching delay and time mask for carrier switching [RAN4]</w:t>
            </w:r>
          </w:p>
          <w:p w14:paraId="2111BE9E">
            <w:pPr>
              <w:pStyle w:val="92"/>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sz w:val="22"/>
                <w:szCs w:val="22"/>
              </w:rPr>
              <w:tab/>
            </w:r>
            <w:r>
              <w:rPr>
                <w:rFonts w:hint="default" w:ascii="Times New Roman" w:hAnsi="Times New Roman" w:cs="Times New Roman"/>
                <w:sz w:val="22"/>
                <w:szCs w:val="22"/>
              </w:rPr>
              <w:t>Specify necessary RRM requirements [RAN4]</w:t>
            </w:r>
          </w:p>
          <w:p w14:paraId="40CA86DE">
            <w:pPr>
              <w:pStyle w:val="92"/>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sz w:val="22"/>
                <w:szCs w:val="22"/>
              </w:rPr>
              <w:tab/>
            </w:r>
            <w:r>
              <w:rPr>
                <w:rFonts w:hint="default" w:ascii="Times New Roman" w:hAnsi="Times New Roman" w:cs="Times New Roman"/>
                <w:sz w:val="22"/>
                <w:szCs w:val="22"/>
              </w:rPr>
              <w:t>Define the corresponding UE capabilities [RAN4, RAN2, RAN1]</w:t>
            </w:r>
          </w:p>
          <w:p w14:paraId="34A4D9D3">
            <w:pPr>
              <w:pStyle w:val="92"/>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sz w:val="22"/>
                <w:szCs w:val="22"/>
              </w:rPr>
              <w:tab/>
            </w:r>
            <w:r>
              <w:rPr>
                <w:rFonts w:hint="default" w:ascii="Times New Roman" w:hAnsi="Times New Roman" w:cs="Times New Roman"/>
                <w:sz w:val="22"/>
                <w:szCs w:val="22"/>
              </w:rPr>
              <w:t>Consider the following deployment constraints:</w:t>
            </w:r>
          </w:p>
          <w:p w14:paraId="33455210">
            <w:pPr>
              <w:pStyle w:val="95"/>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sz w:val="22"/>
                <w:szCs w:val="22"/>
              </w:rPr>
              <w:tab/>
            </w:r>
            <w:r>
              <w:rPr>
                <w:rFonts w:hint="default" w:ascii="Times New Roman" w:hAnsi="Times New Roman" w:cs="Times New Roman"/>
                <w:sz w:val="22"/>
                <w:szCs w:val="22"/>
              </w:rPr>
              <w:t>The carrier frequency for all cases is &lt;1 GHz</w:t>
            </w:r>
          </w:p>
          <w:p w14:paraId="056A048F">
            <w:pPr>
              <w:pStyle w:val="95"/>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sz w:val="22"/>
                <w:szCs w:val="22"/>
              </w:rPr>
              <w:tab/>
            </w:r>
            <w:r>
              <w:rPr>
                <w:rFonts w:hint="default" w:ascii="Times New Roman" w:hAnsi="Times New Roman" w:cs="Times New Roman"/>
                <w:sz w:val="22"/>
                <w:szCs w:val="22"/>
              </w:rPr>
              <w:t>Co-located and synchronized network deployment for both carriers</w:t>
            </w:r>
          </w:p>
          <w:p w14:paraId="4F3DA622">
            <w:pPr>
              <w:pStyle w:val="95"/>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sz w:val="22"/>
                <w:szCs w:val="22"/>
              </w:rPr>
              <w:tab/>
            </w:r>
            <w:r>
              <w:rPr>
                <w:rFonts w:hint="default" w:ascii="Times New Roman" w:hAnsi="Times New Roman" w:cs="Times New Roman"/>
                <w:sz w:val="22"/>
                <w:szCs w:val="22"/>
              </w:rPr>
              <w:t>Both carriers are in a single TAG</w:t>
            </w:r>
          </w:p>
          <w:p w14:paraId="3FD184AC">
            <w:pPr>
              <w:pStyle w:val="95"/>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sz w:val="22"/>
                <w:szCs w:val="22"/>
              </w:rPr>
              <w:tab/>
            </w:r>
            <w:r>
              <w:rPr>
                <w:rFonts w:hint="default" w:ascii="Times New Roman" w:hAnsi="Times New Roman" w:cs="Times New Roman"/>
                <w:sz w:val="22"/>
                <w:szCs w:val="22"/>
              </w:rPr>
              <w:t>SCS 15KHz on both carriers</w:t>
            </w:r>
          </w:p>
        </w:tc>
      </w:tr>
    </w:tbl>
    <w:p w14:paraId="12C8CA4D">
      <w:pPr>
        <w:overflowPunct w:val="0"/>
        <w:autoSpaceDE w:val="0"/>
        <w:autoSpaceDN w:val="0"/>
        <w:adjustRightInd w:val="0"/>
        <w:spacing w:before="240" w:after="240" w:line="264" w:lineRule="auto"/>
        <w:jc w:val="both"/>
        <w:textAlignment w:val="baseline"/>
        <w:rPr>
          <w:rFonts w:hint="default" w:ascii="Times New Roman" w:hAnsi="Times New Roman" w:cs="Times New Roman"/>
          <w:sz w:val="22"/>
          <w:szCs w:val="22"/>
          <w:lang w:val="en-US" w:eastAsia="zh-CN"/>
        </w:rPr>
      </w:pPr>
      <w:bookmarkStart w:id="3" w:name="OLE_LINK8"/>
      <w:r>
        <w:rPr>
          <w:rFonts w:hint="default" w:ascii="Times New Roman" w:hAnsi="Times New Roman" w:cs="Times New Roman"/>
          <w:sz w:val="22"/>
          <w:szCs w:val="22"/>
        </w:rPr>
        <w:t xml:space="preserve">In this contribution, </w:t>
      </w:r>
      <w:r>
        <w:rPr>
          <w:rFonts w:hint="default" w:ascii="Times New Roman" w:hAnsi="Times New Roman" w:cs="Times New Roman"/>
          <w:sz w:val="22"/>
          <w:szCs w:val="22"/>
          <w:lang w:eastAsia="zh-CN"/>
        </w:rPr>
        <w:t>further enhancements f</w:t>
      </w:r>
      <w:r>
        <w:rPr>
          <w:rFonts w:hint="default" w:ascii="Times New Roman" w:hAnsi="Times New Roman" w:cs="Times New Roman"/>
          <w:sz w:val="22"/>
          <w:szCs w:val="22"/>
        </w:rPr>
        <w:t xml:space="preserve">or </w:t>
      </w:r>
      <w:r>
        <w:rPr>
          <w:rFonts w:hint="default" w:ascii="Times New Roman" w:hAnsi="Times New Roman" w:cs="Times New Roman"/>
          <w:sz w:val="22"/>
          <w:szCs w:val="22"/>
          <w:lang w:val="en-US" w:eastAsia="zh-CN"/>
        </w:rPr>
        <w:t>low band carrier aggregation via switching are discussed.</w:t>
      </w:r>
    </w:p>
    <w:bookmarkEnd w:id="3"/>
    <w:p w14:paraId="3C05A020">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Discussion</w:t>
      </w:r>
      <w:bookmarkStart w:id="4" w:name="OLE_LINK4"/>
      <w:bookmarkStart w:id="5" w:name="OLE_LINK3"/>
    </w:p>
    <w:bookmarkEnd w:id="4"/>
    <w:bookmarkEnd w:id="5"/>
    <w:p w14:paraId="6866CBDD">
      <w:pPr>
        <w:pStyle w:val="4"/>
        <w:rPr>
          <w:rFonts w:hint="default" w:ascii="Times New Roman" w:hAnsi="Times New Roman" w:cs="Times New Roman"/>
          <w:sz w:val="22"/>
          <w:szCs w:val="22"/>
        </w:rPr>
      </w:pPr>
      <w:bookmarkStart w:id="6" w:name="OLE_LINK9"/>
      <w:r>
        <w:rPr>
          <w:rFonts w:hint="eastAsia" w:cs="Times New Roman"/>
          <w:sz w:val="22"/>
          <w:szCs w:val="22"/>
          <w:lang w:val="en-US" w:eastAsia="zh-CN"/>
        </w:rPr>
        <w:t xml:space="preserve">Rx </w:t>
      </w:r>
      <w:r>
        <w:rPr>
          <w:rFonts w:hint="default" w:ascii="Times New Roman" w:hAnsi="Times New Roman" w:cs="Times New Roman"/>
          <w:sz w:val="22"/>
          <w:szCs w:val="22"/>
          <w:lang w:val="en-US" w:eastAsia="zh-CN"/>
        </w:rPr>
        <w:t>Switching pattern</w:t>
      </w:r>
      <w:r>
        <w:rPr>
          <w:rFonts w:hint="eastAsia" w:cs="Times New Roman"/>
          <w:sz w:val="22"/>
          <w:szCs w:val="22"/>
          <w:lang w:val="en-US" w:eastAsia="zh-CN"/>
        </w:rPr>
        <w:t xml:space="preserve"> for low-low band</w:t>
      </w:r>
      <w:bookmarkStart w:id="12" w:name="_GoBack"/>
      <w:bookmarkEnd w:id="12"/>
    </w:p>
    <w:bookmarkEnd w:id="6"/>
    <w:p w14:paraId="0B50DC57">
      <w:pPr>
        <w:spacing w:after="180"/>
        <w:jc w:val="both"/>
        <w:rPr>
          <w:rFonts w:hint="default" w:ascii="Times New Roman" w:hAnsi="Times New Roman" w:eastAsia="等线" w:cs="Times New Roman"/>
          <w:sz w:val="22"/>
          <w:szCs w:val="22"/>
          <w:lang w:eastAsia="zh-CN"/>
        </w:rPr>
      </w:pPr>
      <w:bookmarkStart w:id="7" w:name="OLE_LINK6"/>
      <w:r>
        <w:rPr>
          <w:rFonts w:hint="default" w:ascii="Times New Roman" w:hAnsi="Times New Roman" w:cs="Times New Roman"/>
          <w:sz w:val="22"/>
          <w:szCs w:val="22"/>
        </w:rPr>
        <w:t xml:space="preserve">To </w:t>
      </w:r>
      <w:r>
        <w:rPr>
          <w:rFonts w:hint="eastAsia" w:ascii="Times New Roman" w:hAnsi="Times New Roman" w:cs="Times New Roman"/>
          <w:sz w:val="22"/>
          <w:szCs w:val="22"/>
          <w:lang w:val="en-US" w:eastAsia="zh-CN"/>
        </w:rPr>
        <w:t>enhance the utilization of low-band spectrum</w:t>
      </w:r>
      <w:r>
        <w:rPr>
          <w:rFonts w:hint="default" w:ascii="Times New Roman" w:hAnsi="Times New Roman" w:cs="Times New Roman"/>
          <w:sz w:val="22"/>
          <w:szCs w:val="22"/>
        </w:rPr>
        <w:t xml:space="preserve">, </w:t>
      </w:r>
      <w:r>
        <w:rPr>
          <w:rFonts w:hint="eastAsia" w:ascii="Times New Roman" w:hAnsi="Times New Roman" w:cs="Times New Roman"/>
          <w:sz w:val="22"/>
          <w:szCs w:val="22"/>
          <w:lang w:val="en-US" w:eastAsia="zh-CN"/>
        </w:rPr>
        <w:t>low band</w:t>
      </w:r>
      <w:r>
        <w:rPr>
          <w:rFonts w:hint="default" w:ascii="Times New Roman" w:hAnsi="Times New Roman" w:cs="Times New Roman"/>
          <w:sz w:val="22"/>
          <w:szCs w:val="22"/>
        </w:rPr>
        <w:t xml:space="preserve"> carrier aggregation has been considered by the operators. However, </w:t>
      </w:r>
      <w:r>
        <w:rPr>
          <w:rFonts w:hint="eastAsia" w:ascii="Times New Roman" w:hAnsi="Times New Roman" w:cs="Times New Roman"/>
          <w:sz w:val="22"/>
          <w:szCs w:val="22"/>
          <w:lang w:val="en-US" w:eastAsia="zh-CN"/>
        </w:rPr>
        <w:t>given the current limitations in duplexer and antenna technlogies,</w:t>
      </w:r>
      <w:r>
        <w:rPr>
          <w:rFonts w:hint="default" w:ascii="Times New Roman" w:hAnsi="Times New Roman" w:cs="Times New Roman"/>
          <w:sz w:val="22"/>
          <w:szCs w:val="22"/>
        </w:rPr>
        <w:t xml:space="preserve"> </w:t>
      </w:r>
      <w:r>
        <w:rPr>
          <w:rFonts w:hint="eastAsia" w:ascii="Times New Roman" w:hAnsi="Times New Roman" w:cs="Times New Roman"/>
          <w:sz w:val="22"/>
          <w:szCs w:val="22"/>
          <w:lang w:val="en-US" w:eastAsia="zh-CN"/>
        </w:rPr>
        <w:t xml:space="preserve">aggregating low-band carriers through traditional carrier aggregation architectures, which rely on multiplexers, presents significant technical challenges. In response, operators have formally requested that 3GPP consider standardizing an alternative solution based on a switching mechanism, which could potentially overcome the constraints associated with conventional CA approaches. When Rx switching from one band to another band, simultaneous transmission and reception between the two bands are not supported, as illustrated in Figure 1. </w:t>
      </w:r>
    </w:p>
    <w:p w14:paraId="04B798DF">
      <w:pPr>
        <w:pStyle w:val="186"/>
        <w:spacing w:after="0"/>
        <w:jc w:val="both"/>
        <w:rPr>
          <w:rFonts w:hint="default" w:ascii="Times New Roman" w:hAnsi="Times New Roman" w:cs="Times New Roman"/>
          <w:sz w:val="22"/>
          <w:szCs w:val="22"/>
        </w:rPr>
      </w:pPr>
      <w:r>
        <w:rPr>
          <w:rFonts w:hint="default" w:ascii="Times New Roman" w:hAnsi="Times New Roman" w:cs="Times New Roman"/>
          <w:sz w:val="22"/>
          <w:szCs w:val="22"/>
        </w:rPr>
        <w:drawing>
          <wp:inline distT="0" distB="0" distL="114300" distR="114300">
            <wp:extent cx="5942965" cy="2021205"/>
            <wp:effectExtent l="0" t="0" r="635" b="5715"/>
            <wp:docPr id="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1"/>
                    <pic:cNvPicPr>
                      <a:picLocks noChangeAspect="1"/>
                    </pic:cNvPicPr>
                  </pic:nvPicPr>
                  <pic:blipFill>
                    <a:blip r:embed="rId6"/>
                    <a:stretch>
                      <a:fillRect/>
                    </a:stretch>
                  </pic:blipFill>
                  <pic:spPr>
                    <a:xfrm>
                      <a:off x="0" y="0"/>
                      <a:ext cx="5942965" cy="2021205"/>
                    </a:xfrm>
                    <a:prstGeom prst="rect">
                      <a:avLst/>
                    </a:prstGeom>
                    <a:noFill/>
                    <a:ln>
                      <a:noFill/>
                    </a:ln>
                  </pic:spPr>
                </pic:pic>
              </a:graphicData>
            </a:graphic>
          </wp:inline>
        </w:drawing>
      </w:r>
    </w:p>
    <w:p w14:paraId="241DF840">
      <w:pPr>
        <w:pStyle w:val="186"/>
        <w:spacing w:after="0"/>
        <w:jc w:val="center"/>
        <w:rPr>
          <w:rFonts w:hint="default" w:ascii="Times New Roman" w:hAnsi="Times New Roman" w:cs="Times New Roman"/>
          <w:sz w:val="22"/>
          <w:szCs w:val="22"/>
        </w:rPr>
      </w:pPr>
    </w:p>
    <w:p w14:paraId="097AB1EE">
      <w:pPr>
        <w:pStyle w:val="186"/>
        <w:spacing w:after="0"/>
        <w:jc w:val="center"/>
        <w:rPr>
          <w:rFonts w:hint="default" w:ascii="Times New Roman" w:hAnsi="Times New Roman" w:eastAsia="宋体" w:cs="Times New Roman"/>
          <w:b w:val="0"/>
          <w:bCs/>
          <w:sz w:val="22"/>
          <w:szCs w:val="22"/>
          <w:lang w:val="en-US" w:eastAsia="zh-CN"/>
        </w:rPr>
      </w:pPr>
      <w:r>
        <w:rPr>
          <w:rFonts w:hint="default" w:ascii="Times New Roman" w:hAnsi="Times New Roman" w:eastAsia="宋体" w:cs="Times New Roman"/>
          <w:b w:val="0"/>
          <w:bCs/>
          <w:sz w:val="22"/>
          <w:szCs w:val="22"/>
          <w:lang w:val="en-US" w:eastAsia="zh-CN"/>
        </w:rPr>
        <w:t xml:space="preserve">Figure 1. </w:t>
      </w:r>
      <w:r>
        <w:rPr>
          <w:rFonts w:hint="eastAsia" w:ascii="Times New Roman" w:hAnsi="Times New Roman" w:eastAsia="宋体" w:cs="Times New Roman"/>
          <w:b w:val="0"/>
          <w:bCs/>
          <w:sz w:val="22"/>
          <w:szCs w:val="22"/>
          <w:lang w:val="en-US" w:eastAsia="zh-CN"/>
        </w:rPr>
        <w:t>C</w:t>
      </w:r>
      <w:r>
        <w:rPr>
          <w:rFonts w:hint="default" w:ascii="Times New Roman" w:hAnsi="Times New Roman" w:eastAsia="宋体" w:cs="Times New Roman"/>
          <w:b w:val="0"/>
          <w:bCs/>
          <w:sz w:val="22"/>
          <w:szCs w:val="22"/>
          <w:lang w:val="en-US" w:eastAsia="zh-CN"/>
        </w:rPr>
        <w:t>oncept of low band aggregation via switching</w:t>
      </w:r>
    </w:p>
    <w:p w14:paraId="4BABBFF7">
      <w:pPr>
        <w:pStyle w:val="186"/>
        <w:spacing w:after="0"/>
        <w:jc w:val="both"/>
        <w:rPr>
          <w:rFonts w:hint="default" w:ascii="Times New Roman" w:hAnsi="Times New Roman" w:eastAsia="宋体" w:cs="Times New Roman"/>
          <w:sz w:val="22"/>
          <w:szCs w:val="22"/>
          <w:lang w:val="en-US" w:eastAsia="zh-CN"/>
        </w:rPr>
      </w:pPr>
    </w:p>
    <w:p w14:paraId="5A7B95FC">
      <w:pPr>
        <w:spacing w:after="180"/>
        <w:jc w:val="both"/>
        <w:rPr>
          <w:rFonts w:hint="eastAsia" w:ascii="Times New Roman" w:hAnsi="Times New Roman" w:eastAsia="等线" w:cs="Times New Roman"/>
          <w:sz w:val="22"/>
          <w:szCs w:val="22"/>
          <w:lang w:val="en-US" w:eastAsia="zh-CN"/>
        </w:rPr>
      </w:pPr>
      <w:r>
        <w:rPr>
          <w:rFonts w:hint="eastAsia" w:ascii="Times New Roman" w:hAnsi="Times New Roman" w:eastAsia="等线" w:cs="Times New Roman"/>
          <w:sz w:val="22"/>
          <w:szCs w:val="22"/>
          <w:lang w:val="en-US" w:eastAsia="zh-CN"/>
        </w:rPr>
        <w:t xml:space="preserve">Prior to discussing the Rx switching pattern, let us consider n5 and n29 as an example. The switching time between n5 and n29 should to be determined, whether from n5 to n29 or from n29 to n5. Due to different UE may have varying capabilities and/or RF architectures, potentially resulting in different switching times across devices. Consequently, the switching time between n5 and n29 should be reported to the gNB to ensure proper network coordination. Additionally, in ours view, a same rx switching time between transitioning from n5 to n29 or from n29 to n5 should be considered. </w:t>
      </w:r>
    </w:p>
    <w:p w14:paraId="58E930B2">
      <w:pPr>
        <w:pStyle w:val="101"/>
        <w:numPr>
          <w:ilvl w:val="0"/>
          <w:numId w:val="0"/>
        </w:numPr>
        <w:tabs>
          <w:tab w:val="clear" w:pos="1304"/>
        </w:tabs>
        <w:ind w:leftChars="0"/>
        <w:rPr>
          <w:rFonts w:hint="eastAsia" w:ascii="Times New Roman" w:hAnsi="Times New Roman" w:eastAsia="宋体" w:cs="Times New Roman"/>
          <w:i/>
          <w:iCs/>
          <w:sz w:val="22"/>
          <w:szCs w:val="22"/>
          <w:lang w:val="en-US" w:eastAsia="zh-CN"/>
        </w:rPr>
      </w:pPr>
      <w:bookmarkStart w:id="8" w:name="_Toc189641981"/>
      <w:bookmarkStart w:id="9" w:name="_Toc189642058"/>
      <w:r>
        <w:rPr>
          <w:rFonts w:hint="eastAsia" w:ascii="Times New Roman" w:hAnsi="Times New Roman" w:eastAsia="宋体" w:cs="Times New Roman"/>
          <w:i/>
          <w:iCs/>
          <w:sz w:val="22"/>
          <w:szCs w:val="22"/>
          <w:lang w:val="en-US" w:eastAsia="zh-CN"/>
        </w:rPr>
        <w:t xml:space="preserve">Proposal 1: The switching time between band1 and band2 needs to report by UE, and a value of the switching time between band 1 and band2 should be considered. </w:t>
      </w:r>
      <w:bookmarkEnd w:id="8"/>
      <w:bookmarkEnd w:id="9"/>
    </w:p>
    <w:p w14:paraId="521A0CD6">
      <w:pPr>
        <w:jc w:val="both"/>
        <w:rPr>
          <w:rFonts w:hint="default" w:ascii="Times New Roman" w:hAnsi="Times New Roman" w:cs="Times New Roman"/>
          <w:sz w:val="22"/>
          <w:szCs w:val="22"/>
          <w:lang w:val="en-US" w:eastAsia="zh-CN"/>
        </w:rPr>
      </w:pPr>
      <w:r>
        <w:rPr>
          <w:rFonts w:hint="eastAsia" w:ascii="Times New Roman" w:hAnsi="Times New Roman" w:eastAsia="宋体" w:cs="Times New Roman"/>
          <w:sz w:val="22"/>
          <w:szCs w:val="22"/>
          <w:lang w:val="en-US" w:eastAsia="zh-CN"/>
        </w:rPr>
        <w:t xml:space="preserve">Two approaches can be considered for indicating the Rx switching pattern: the semi-static method and dynamic method. The dynamic approach offers greater flexibility, allowing the UE to perform Rx switching at any time, which can better align with varying traffic demands between the UE and gNB across different bands. However, as it is </w:t>
      </w:r>
      <w:r>
        <w:rPr>
          <w:rFonts w:hint="default" w:ascii="Times New Roman" w:hAnsi="Times New Roman" w:eastAsia="Malgun Gothic" w:cs="Times New Roman"/>
          <w:sz w:val="22"/>
          <w:szCs w:val="22"/>
          <w:lang w:eastAsia="ko-KR"/>
        </w:rPr>
        <w:t xml:space="preserve">required that  a </w:t>
      </w:r>
      <w:r>
        <w:rPr>
          <w:rFonts w:hint="default" w:ascii="Times New Roman" w:hAnsi="Times New Roman" w:cs="Times New Roman"/>
          <w:sz w:val="22"/>
          <w:szCs w:val="22"/>
        </w:rPr>
        <w:t>semi-static switching pattern based on RRC configuration is considered to utilize the switching-based LB CA in Rel-19.</w:t>
      </w:r>
      <w:r>
        <w:rPr>
          <w:rFonts w:hint="eastAsia" w:ascii="Times New Roman" w:hAnsi="Times New Roman" w:cs="Times New Roman"/>
          <w:sz w:val="22"/>
          <w:szCs w:val="22"/>
          <w:lang w:val="en-US" w:eastAsia="zh-CN"/>
        </w:rPr>
        <w:t xml:space="preserve"> Under this semi-static approach, parameters such as the Rx switching periodicity, switching time, and the switching point within a periodicity are configured via RRC signaling, and the switching pattern cannot be altered dynamically. </w:t>
      </w:r>
      <w:r>
        <w:rPr>
          <w:rFonts w:hint="eastAsia" w:ascii="Times New Roman" w:hAnsi="Times New Roman" w:cs="Times New Roman"/>
          <w:sz w:val="22"/>
          <w:szCs w:val="22"/>
          <w:highlight w:val="none"/>
          <w:lang w:val="en-US" w:eastAsia="zh-CN"/>
        </w:rPr>
        <w:t xml:space="preserve">While this reduces flexibility compared to the dynamic method, it significantly lowers implementation complexity. Considering the limited TU budget in Rel-19, we propose that the semi-static method for Rx switching pattern configuration be adopted as the preferred solution. </w:t>
      </w:r>
    </w:p>
    <w:p w14:paraId="68B88070">
      <w:pPr>
        <w:jc w:val="both"/>
        <w:rPr>
          <w:rFonts w:hint="default" w:ascii="Times New Roman" w:hAnsi="Times New Roman" w:cs="Times New Roman"/>
          <w:sz w:val="22"/>
          <w:szCs w:val="22"/>
        </w:rPr>
      </w:pPr>
      <w:r>
        <w:rPr>
          <w:rFonts w:hint="eastAsia" w:ascii="Times New Roman" w:hAnsi="Times New Roman" w:cs="Times New Roman"/>
          <w:b/>
          <w:bCs/>
          <w:i/>
          <w:iCs/>
          <w:sz w:val="22"/>
          <w:szCs w:val="22"/>
          <w:lang w:val="en-US" w:eastAsia="zh-CN"/>
        </w:rPr>
        <w:t xml:space="preserve">Proposal 2: Semi-static way for Rx switching pattern configuration low-low band aggregation in Rel-19 can be considered. </w:t>
      </w:r>
    </w:p>
    <w:p w14:paraId="69C8391B">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eastAsia="PMingLiU" w:cs="Times New Roman"/>
          <w:b/>
          <w:bCs/>
          <w:i/>
          <w:iCs/>
          <w:sz w:val="22"/>
          <w:szCs w:val="22"/>
          <w:lang w:eastAsia="zh-TW"/>
        </w:rPr>
      </w:pPr>
      <w:bookmarkStart w:id="10" w:name="OLE_LINK40"/>
      <w:bookmarkStart w:id="11" w:name="OLE_LINK37"/>
      <w:r>
        <w:rPr>
          <w:rFonts w:hint="eastAsia" w:ascii="Times New Roman" w:hAnsi="Times New Roman" w:cs="Times New Roman"/>
          <w:i w:val="0"/>
          <w:iCs w:val="0"/>
          <w:sz w:val="22"/>
          <w:szCs w:val="22"/>
          <w:lang w:val="en-US" w:eastAsia="zh-CN"/>
        </w:rPr>
        <w:t>In the current specification</w:t>
      </w:r>
      <w:r>
        <w:rPr>
          <w:rFonts w:hint="default" w:ascii="Times New Roman" w:hAnsi="Times New Roman" w:cs="Times New Roman"/>
          <w:i w:val="0"/>
          <w:iCs w:val="0"/>
          <w:sz w:val="22"/>
          <w:szCs w:val="22"/>
          <w:lang w:val="en-US" w:eastAsia="zh-CN"/>
        </w:rPr>
        <w:t xml:space="preserve">, the semi-static configuration of switching </w:t>
      </w:r>
      <w:r>
        <w:rPr>
          <w:rFonts w:hint="eastAsia" w:ascii="Times New Roman" w:hAnsi="Times New Roman" w:cs="Times New Roman"/>
          <w:i w:val="0"/>
          <w:iCs w:val="0"/>
          <w:sz w:val="22"/>
          <w:szCs w:val="22"/>
          <w:lang w:val="en-US" w:eastAsia="zh-CN"/>
        </w:rPr>
        <w:t>time</w:t>
      </w:r>
      <w:r>
        <w:rPr>
          <w:rFonts w:hint="default" w:ascii="Times New Roman" w:hAnsi="Times New Roman" w:cs="Times New Roman"/>
          <w:i w:val="0"/>
          <w:iCs w:val="0"/>
          <w:sz w:val="22"/>
          <w:szCs w:val="22"/>
          <w:lang w:val="en-US" w:eastAsia="zh-CN"/>
        </w:rPr>
        <w:t xml:space="preserve"> </w:t>
      </w:r>
      <w:r>
        <w:rPr>
          <w:rFonts w:hint="eastAsia" w:ascii="Times New Roman" w:hAnsi="Times New Roman" w:cs="Times New Roman"/>
          <w:i w:val="0"/>
          <w:iCs w:val="0"/>
          <w:sz w:val="22"/>
          <w:szCs w:val="22"/>
          <w:lang w:val="en-US" w:eastAsia="zh-CN"/>
        </w:rPr>
        <w:t xml:space="preserve">is associated with the carrier as indicated in the RRC signaling for downlink carrier switching period location. Similarly, for the Rx switching pattern, the location of the switching time need also be defined. In our view, it is preferable to avoid placing the switching time within the first three symbols of any downlink slot to ensure that critical downlink control resources remain unaffected. Consequently, the switching point can be positioned at the end of a slot, as illustrated in Figure2. </w:t>
      </w:r>
    </w:p>
    <w:bookmarkEnd w:id="10"/>
    <w:p w14:paraId="0F44BF21">
      <w:pPr>
        <w:jc w:val="center"/>
        <w:rPr>
          <w:rFonts w:hint="default" w:ascii="Times New Roman" w:hAnsi="Times New Roman" w:eastAsia="PMingLiU" w:cs="Times New Roman"/>
          <w:b/>
          <w:bCs/>
          <w:i/>
          <w:iCs/>
          <w:sz w:val="22"/>
          <w:szCs w:val="22"/>
          <w:lang w:eastAsia="zh-TW"/>
        </w:rPr>
      </w:pPr>
      <w:r>
        <w:rPr>
          <w:rFonts w:hint="default" w:ascii="Times New Roman" w:hAnsi="Times New Roman" w:eastAsia="PMingLiU" w:cs="Times New Roman"/>
          <w:b/>
          <w:bCs/>
          <w:i/>
          <w:iCs/>
          <w:sz w:val="22"/>
          <w:szCs w:val="22"/>
          <w:lang w:eastAsia="zh-TW"/>
        </w:rPr>
        <w:object>
          <v:shape id="_x0000_i1025" o:spt="75" type="#_x0000_t75" style="height:126.8pt;width:423.1pt;" o:ole="t" filled="f" o:preferrelative="t" stroked="f" coordsize="21600,21600">
            <v:path/>
            <v:fill on="f" focussize="0,0"/>
            <v:stroke on="f"/>
            <v:imagedata r:id="rId8" o:title=""/>
            <o:lock v:ext="edit" aspectratio="f"/>
            <w10:wrap type="none"/>
            <w10:anchorlock/>
          </v:shape>
          <o:OLEObject Type="Embed" ProgID="Visio.Drawing.15" ShapeID="_x0000_i1025" DrawAspect="Content" ObjectID="_1468075725" r:id="rId7">
            <o:LockedField>false</o:LockedField>
          </o:OLEObject>
        </w:object>
      </w:r>
    </w:p>
    <w:bookmarkEnd w:id="11"/>
    <w:p w14:paraId="2F325BC7">
      <w:pPr>
        <w:jc w:val="center"/>
        <w:rPr>
          <w:rFonts w:hint="default"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Figure 2. Location of the Rx switching time</w:t>
      </w:r>
    </w:p>
    <w:p w14:paraId="15D10684">
      <w:pPr>
        <w:pStyle w:val="101"/>
        <w:numPr>
          <w:ilvl w:val="0"/>
          <w:numId w:val="0"/>
        </w:numPr>
        <w:tabs>
          <w:tab w:val="clear" w:pos="1304"/>
        </w:tabs>
        <w:ind w:leftChars="0"/>
        <w:rPr>
          <w:rFonts w:hint="default" w:ascii="Times New Roman" w:hAnsi="Times New Roman" w:cs="Times New Roman"/>
          <w:sz w:val="22"/>
          <w:szCs w:val="22"/>
        </w:rPr>
      </w:pPr>
      <w:r>
        <w:rPr>
          <w:rFonts w:hint="default" w:ascii="Times New Roman" w:hAnsi="Times New Roman" w:eastAsia="宋体" w:cs="Times New Roman"/>
          <w:i/>
          <w:iCs/>
          <w:sz w:val="22"/>
          <w:szCs w:val="22"/>
          <w:lang w:val="en-US" w:eastAsia="zh-CN"/>
        </w:rPr>
        <w:t xml:space="preserve">Proposal 3: The </w:t>
      </w:r>
      <w:r>
        <w:rPr>
          <w:rFonts w:hint="default" w:ascii="Times New Roman" w:hAnsi="Times New Roman" w:eastAsia="Malgun Gothic" w:cs="Times New Roman"/>
          <w:i/>
          <w:iCs/>
          <w:sz w:val="22"/>
          <w:szCs w:val="22"/>
          <w:lang w:eastAsia="ko-KR"/>
        </w:rPr>
        <w:t xml:space="preserve">switching </w:t>
      </w:r>
      <w:r>
        <w:rPr>
          <w:rFonts w:hint="default" w:ascii="Times New Roman" w:hAnsi="Times New Roman" w:eastAsia="宋体" w:cs="Times New Roman"/>
          <w:i/>
          <w:iCs/>
          <w:sz w:val="22"/>
          <w:szCs w:val="22"/>
          <w:lang w:val="en-US" w:eastAsia="zh-CN"/>
        </w:rPr>
        <w:t>time</w:t>
      </w:r>
      <w:r>
        <w:rPr>
          <w:rFonts w:hint="default" w:ascii="Times New Roman" w:hAnsi="Times New Roman" w:eastAsia="Malgun Gothic" w:cs="Times New Roman"/>
          <w:i/>
          <w:iCs/>
          <w:sz w:val="22"/>
          <w:szCs w:val="22"/>
          <w:lang w:eastAsia="ko-KR"/>
        </w:rPr>
        <w:t xml:space="preserve"> would better not to</w:t>
      </w:r>
      <w:r>
        <w:rPr>
          <w:rFonts w:hint="default" w:ascii="Times New Roman" w:hAnsi="Times New Roman" w:eastAsia="宋体" w:cs="Times New Roman"/>
          <w:i/>
          <w:iCs/>
          <w:sz w:val="22"/>
          <w:szCs w:val="22"/>
          <w:lang w:val="en-US" w:eastAsia="zh-CN"/>
        </w:rPr>
        <w:t xml:space="preserve"> impact on the DL control information of a carrier</w:t>
      </w:r>
      <w:r>
        <w:rPr>
          <w:rFonts w:hint="eastAsia" w:ascii="Times New Roman" w:hAnsi="Times New Roman" w:eastAsia="宋体" w:cs="Times New Roman"/>
          <w:i/>
          <w:iCs/>
          <w:sz w:val="22"/>
          <w:szCs w:val="22"/>
          <w:lang w:val="en-US" w:eastAsia="zh-CN"/>
        </w:rPr>
        <w:t>.</w:t>
      </w:r>
      <w:r>
        <w:rPr>
          <w:rFonts w:hint="default" w:ascii="Times New Roman" w:hAnsi="Times New Roman" w:eastAsia="宋体" w:cs="Times New Roman"/>
          <w:i/>
          <w:iCs/>
          <w:sz w:val="22"/>
          <w:szCs w:val="22"/>
          <w:lang w:val="en-US" w:eastAsia="zh-CN"/>
        </w:rPr>
        <w:t xml:space="preserve"> </w:t>
      </w:r>
    </w:p>
    <w:p w14:paraId="02023655">
      <w:pPr>
        <w:pStyle w:val="4"/>
        <w:bidi w:val="0"/>
        <w:rPr>
          <w:rFonts w:hint="default" w:ascii="Times New Roman" w:hAnsi="Times New Roman" w:cs="Times New Roman"/>
          <w:color w:val="auto"/>
          <w:sz w:val="22"/>
          <w:szCs w:val="22"/>
          <w:lang w:val="en-US" w:eastAsia="zh-CN"/>
        </w:rPr>
      </w:pPr>
      <w:r>
        <w:rPr>
          <w:rFonts w:hint="default" w:ascii="Times New Roman" w:hAnsi="Times New Roman" w:cs="Times New Roman"/>
          <w:sz w:val="22"/>
          <w:szCs w:val="22"/>
          <w:lang w:val="en-US" w:eastAsia="zh-CN"/>
        </w:rPr>
        <w:t>Impact on measurement</w:t>
      </w:r>
    </w:p>
    <w:p w14:paraId="27C3B5CB">
      <w:pPr>
        <w:pStyle w:val="30"/>
        <w:numPr>
          <w:ilvl w:val="0"/>
          <w:numId w:val="0"/>
        </w:numPr>
        <w:bidi w:val="0"/>
        <w:ind w:leftChars="0"/>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 xml:space="preserve">For </w:t>
      </w:r>
      <w:r>
        <w:rPr>
          <w:rFonts w:hint="eastAsia" w:cs="Times New Roman"/>
          <w:color w:val="auto"/>
          <w:sz w:val="22"/>
          <w:szCs w:val="22"/>
          <w:lang w:val="en-US" w:eastAsia="zh-CN"/>
        </w:rPr>
        <w:t>mobility purposes</w:t>
      </w:r>
      <w:r>
        <w:rPr>
          <w:rFonts w:hint="default" w:ascii="Times New Roman" w:hAnsi="Times New Roman" w:cs="Times New Roman"/>
          <w:color w:val="auto"/>
          <w:sz w:val="22"/>
          <w:szCs w:val="22"/>
          <w:lang w:val="en-US" w:eastAsia="zh-CN"/>
        </w:rPr>
        <w:t xml:space="preserve">, RRM measurements on both bands </w:t>
      </w:r>
      <w:r>
        <w:rPr>
          <w:rFonts w:hint="eastAsia" w:cs="Times New Roman"/>
          <w:color w:val="auto"/>
          <w:sz w:val="22"/>
          <w:szCs w:val="22"/>
          <w:lang w:val="en-US" w:eastAsia="zh-CN"/>
        </w:rPr>
        <w:t xml:space="preserve">is configured by the gNB. However, when Rx switching is executed, it introduces certain impacts on RRM measurements. Consider a scenario where Band 1 and Band 2 are aggregated, with Band 1 serving as the Pcell and band 2 as the Scell (DL only). According to the described above, the UE cannot receive downlink reference signals from the Pcell in Band 1 while switching form Band 1 to Band 2. If RRM measurements are required during a duration, the UE would be unable to perform them. To address this issue, in our view, the introduction of additional Rx switching point(s) within the semi-statically configured Rx switching pattern for low-low band aggregation could be considered. </w:t>
      </w:r>
    </w:p>
    <w:p w14:paraId="139082B2">
      <w:pPr>
        <w:pStyle w:val="30"/>
        <w:numPr>
          <w:ilvl w:val="0"/>
          <w:numId w:val="0"/>
        </w:numPr>
        <w:bidi w:val="0"/>
        <w:ind w:leftChars="0"/>
        <w:rPr>
          <w:rFonts w:hint="default" w:ascii="Times New Roman" w:hAnsi="Times New Roman" w:cs="Times New Roman" w:eastAsiaTheme="minorEastAsia"/>
          <w:color w:val="auto"/>
          <w:sz w:val="22"/>
          <w:szCs w:val="22"/>
          <w:lang w:eastAsia="zh-CN"/>
        </w:rPr>
      </w:pPr>
      <w:r>
        <w:rPr>
          <w:rFonts w:hint="default" w:ascii="Times New Roman" w:hAnsi="Times New Roman" w:cs="Times New Roman" w:eastAsiaTheme="minorEastAsia"/>
          <w:color w:val="auto"/>
          <w:sz w:val="22"/>
          <w:szCs w:val="22"/>
          <w:lang w:eastAsia="zh-CN"/>
        </w:rPr>
        <w:t xml:space="preserve"> </w:t>
      </w:r>
    </w:p>
    <w:p w14:paraId="0259915B">
      <w:pPr>
        <w:pStyle w:val="30"/>
        <w:numPr>
          <w:ilvl w:val="0"/>
          <w:numId w:val="0"/>
        </w:numPr>
        <w:bidi w:val="0"/>
        <w:ind w:leftChars="0"/>
        <w:rPr>
          <w:rFonts w:hint="default" w:ascii="Times New Roman" w:hAnsi="Times New Roman" w:eastAsia="宋体" w:cs="Times New Roman"/>
          <w:sz w:val="22"/>
          <w:szCs w:val="22"/>
          <w:lang w:val="en-US" w:eastAsia="zh-CN"/>
        </w:rPr>
      </w:pPr>
      <w:r>
        <w:rPr>
          <w:rFonts w:hint="eastAsia" w:cs="Times New Roman"/>
          <w:b/>
          <w:bCs/>
          <w:i/>
          <w:iCs/>
          <w:color w:val="auto"/>
          <w:sz w:val="22"/>
          <w:szCs w:val="22"/>
          <w:lang w:val="en-US" w:eastAsia="zh-CN"/>
        </w:rPr>
        <w:t xml:space="preserve">Proposal 4: The impacts on RRM measurement need to study when Rx switching for low-low band aggregation is configured. </w:t>
      </w:r>
    </w:p>
    <w:bookmarkEnd w:id="7"/>
    <w:p w14:paraId="576370D1">
      <w:pPr>
        <w:pStyle w:val="3"/>
        <w:keepNext w:val="0"/>
        <w:keepLines w:val="0"/>
        <w:widowControl w:val="0"/>
        <w:numPr>
          <w:ilvl w:val="0"/>
          <w:numId w:val="1"/>
        </w:numPr>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Conclusion</w:t>
      </w:r>
    </w:p>
    <w:p w14:paraId="1CEBE522">
      <w:pPr>
        <w:spacing w:line="320" w:lineRule="exact"/>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In this contribution, the following proposals have been made:</w:t>
      </w:r>
    </w:p>
    <w:p w14:paraId="4C24250F">
      <w:pPr>
        <w:pStyle w:val="101"/>
        <w:numPr>
          <w:ilvl w:val="0"/>
          <w:numId w:val="0"/>
        </w:numPr>
        <w:tabs>
          <w:tab w:val="clear" w:pos="1304"/>
        </w:tabs>
        <w:ind w:leftChars="0"/>
        <w:rPr>
          <w:rFonts w:hint="eastAsia" w:ascii="Times New Roman" w:hAnsi="Times New Roman" w:eastAsia="宋体" w:cs="Times New Roman"/>
          <w:i/>
          <w:iCs/>
          <w:sz w:val="22"/>
          <w:szCs w:val="22"/>
          <w:lang w:val="en-US" w:eastAsia="zh-CN"/>
        </w:rPr>
      </w:pPr>
      <w:r>
        <w:rPr>
          <w:rFonts w:hint="eastAsia" w:ascii="Times New Roman" w:hAnsi="Times New Roman" w:eastAsia="宋体" w:cs="Times New Roman"/>
          <w:i/>
          <w:iCs/>
          <w:sz w:val="22"/>
          <w:szCs w:val="22"/>
          <w:lang w:val="en-US" w:eastAsia="zh-CN"/>
        </w:rPr>
        <w:t xml:space="preserve">Proposal 1: The switching time between band1 and band2 needs to report by UE, and a value of the switching time between band 1 and band2 should be considered. </w:t>
      </w:r>
    </w:p>
    <w:p w14:paraId="6266795B">
      <w:pPr>
        <w:jc w:val="both"/>
        <w:rPr>
          <w:rFonts w:hint="default" w:ascii="Times New Roman" w:hAnsi="Times New Roman" w:cs="Times New Roman"/>
          <w:sz w:val="22"/>
          <w:szCs w:val="22"/>
        </w:rPr>
      </w:pPr>
      <w:r>
        <w:rPr>
          <w:rFonts w:hint="eastAsia" w:ascii="Times New Roman" w:hAnsi="Times New Roman" w:cs="Times New Roman"/>
          <w:b/>
          <w:bCs/>
          <w:i/>
          <w:iCs/>
          <w:sz w:val="22"/>
          <w:szCs w:val="22"/>
          <w:lang w:val="en-US" w:eastAsia="zh-CN"/>
        </w:rPr>
        <w:t xml:space="preserve">Proposal 2: Semi-static way for Rx switching pattern configuration low-low band aggregation in Rel-19 can be considered. </w:t>
      </w:r>
    </w:p>
    <w:p w14:paraId="165AAE8B">
      <w:pPr>
        <w:pStyle w:val="101"/>
        <w:numPr>
          <w:ilvl w:val="0"/>
          <w:numId w:val="0"/>
        </w:numPr>
        <w:tabs>
          <w:tab w:val="clear" w:pos="1304"/>
        </w:tabs>
        <w:ind w:leftChars="0"/>
        <w:rPr>
          <w:rFonts w:hint="default" w:ascii="Times New Roman" w:hAnsi="Times New Roman" w:cs="Times New Roman"/>
          <w:sz w:val="22"/>
          <w:szCs w:val="22"/>
          <w:lang w:eastAsia="zh-CN"/>
        </w:rPr>
      </w:pPr>
      <w:r>
        <w:rPr>
          <w:rFonts w:hint="default" w:ascii="Times New Roman" w:hAnsi="Times New Roman" w:eastAsia="宋体" w:cs="Times New Roman"/>
          <w:i/>
          <w:iCs/>
          <w:sz w:val="22"/>
          <w:szCs w:val="22"/>
          <w:lang w:val="en-US" w:eastAsia="zh-CN"/>
        </w:rPr>
        <w:t xml:space="preserve">Proposal 3: The </w:t>
      </w:r>
      <w:r>
        <w:rPr>
          <w:rFonts w:hint="default" w:ascii="Times New Roman" w:hAnsi="Times New Roman" w:eastAsia="Malgun Gothic" w:cs="Times New Roman"/>
          <w:i/>
          <w:iCs/>
          <w:sz w:val="22"/>
          <w:szCs w:val="22"/>
          <w:lang w:eastAsia="ko-KR"/>
        </w:rPr>
        <w:t xml:space="preserve">switching </w:t>
      </w:r>
      <w:r>
        <w:rPr>
          <w:rFonts w:hint="default" w:ascii="Times New Roman" w:hAnsi="Times New Roman" w:eastAsia="宋体" w:cs="Times New Roman"/>
          <w:i/>
          <w:iCs/>
          <w:sz w:val="22"/>
          <w:szCs w:val="22"/>
          <w:lang w:val="en-US" w:eastAsia="zh-CN"/>
        </w:rPr>
        <w:t>time</w:t>
      </w:r>
      <w:r>
        <w:rPr>
          <w:rFonts w:hint="default" w:ascii="Times New Roman" w:hAnsi="Times New Roman" w:eastAsia="Malgun Gothic" w:cs="Times New Roman"/>
          <w:i/>
          <w:iCs/>
          <w:sz w:val="22"/>
          <w:szCs w:val="22"/>
          <w:lang w:eastAsia="ko-KR"/>
        </w:rPr>
        <w:t xml:space="preserve"> would better not to</w:t>
      </w:r>
      <w:r>
        <w:rPr>
          <w:rFonts w:hint="default" w:ascii="Times New Roman" w:hAnsi="Times New Roman" w:eastAsia="宋体" w:cs="Times New Roman"/>
          <w:i/>
          <w:iCs/>
          <w:sz w:val="22"/>
          <w:szCs w:val="22"/>
          <w:lang w:val="en-US" w:eastAsia="zh-CN"/>
        </w:rPr>
        <w:t xml:space="preserve"> impact on the DL control information of a carrier</w:t>
      </w:r>
      <w:r>
        <w:rPr>
          <w:rFonts w:hint="eastAsia" w:ascii="Times New Roman" w:hAnsi="Times New Roman" w:eastAsia="宋体" w:cs="Times New Roman"/>
          <w:i/>
          <w:iCs/>
          <w:sz w:val="22"/>
          <w:szCs w:val="22"/>
          <w:lang w:val="en-US" w:eastAsia="zh-CN"/>
        </w:rPr>
        <w:t>.</w:t>
      </w:r>
      <w:r>
        <w:rPr>
          <w:rFonts w:hint="default" w:ascii="Times New Roman" w:hAnsi="Times New Roman" w:eastAsia="宋体" w:cs="Times New Roman"/>
          <w:i/>
          <w:iCs/>
          <w:sz w:val="22"/>
          <w:szCs w:val="22"/>
          <w:lang w:val="en-US" w:eastAsia="zh-CN"/>
        </w:rPr>
        <w:t xml:space="preserve"> </w:t>
      </w:r>
    </w:p>
    <w:p w14:paraId="565D78E8">
      <w:pPr>
        <w:pStyle w:val="30"/>
        <w:numPr>
          <w:ilvl w:val="0"/>
          <w:numId w:val="0"/>
        </w:numPr>
        <w:bidi w:val="0"/>
        <w:ind w:leftChars="0"/>
        <w:rPr>
          <w:rFonts w:hint="default" w:ascii="Times New Roman" w:hAnsi="Times New Roman" w:cs="Times New Roman"/>
          <w:b/>
          <w:bCs/>
          <w:i/>
          <w:iCs/>
          <w:sz w:val="22"/>
          <w:szCs w:val="22"/>
        </w:rPr>
      </w:pPr>
      <w:r>
        <w:rPr>
          <w:rFonts w:hint="eastAsia" w:cs="Times New Roman"/>
          <w:b/>
          <w:bCs/>
          <w:i/>
          <w:iCs/>
          <w:color w:val="auto"/>
          <w:sz w:val="22"/>
          <w:szCs w:val="22"/>
          <w:lang w:val="en-US" w:eastAsia="zh-CN"/>
        </w:rPr>
        <w:t xml:space="preserve">Proposal 4: The impacts on RRM measurement need to study when Rx switching for low-low band aggregation is configured. </w:t>
      </w:r>
    </w:p>
    <w:p w14:paraId="6EC21FDF">
      <w:pPr>
        <w:pStyle w:val="3"/>
        <w:keepNext w:val="0"/>
        <w:keepLines w:val="0"/>
        <w:widowControl w:val="0"/>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4. References</w:t>
      </w:r>
    </w:p>
    <w:p w14:paraId="284D8F6C">
      <w:pPr>
        <w:spacing w:after="0" w:line="320" w:lineRule="exact"/>
        <w:jc w:val="both"/>
        <w:rPr>
          <w:rFonts w:hint="default" w:ascii="Times New Roman" w:hAnsi="Times New Roman" w:cs="Times New Roman"/>
          <w:sz w:val="22"/>
          <w:szCs w:val="22"/>
          <w:lang w:eastAsia="zh-CN"/>
        </w:rPr>
      </w:pPr>
      <w:r>
        <w:rPr>
          <w:rFonts w:hint="default" w:ascii="Times New Roman" w:hAnsi="Times New Roman" w:eastAsia="Calibri" w:cs="Times New Roman"/>
          <w:sz w:val="22"/>
          <w:szCs w:val="22"/>
        </w:rPr>
        <w:t xml:space="preserve">[1] </w:t>
      </w:r>
      <w:r>
        <w:rPr>
          <w:rFonts w:hint="default" w:ascii="Times New Roman" w:hAnsi="Times New Roman" w:cs="Times New Roman"/>
          <w:sz w:val="22"/>
          <w:szCs w:val="22"/>
        </w:rPr>
        <w:t>RP-2</w:t>
      </w:r>
      <w:r>
        <w:rPr>
          <w:rFonts w:hint="default" w:ascii="Times New Roman" w:hAnsi="Times New Roman" w:cs="Times New Roman"/>
          <w:sz w:val="22"/>
          <w:szCs w:val="22"/>
          <w:lang w:val="en-US" w:eastAsia="zh-CN"/>
        </w:rPr>
        <w:t>50247</w:t>
      </w:r>
      <w:r>
        <w:rPr>
          <w:rFonts w:hint="default" w:ascii="Times New Roman" w:hAnsi="Times New Roman" w:cs="Times New Roman"/>
          <w:b w:val="0"/>
          <w:bCs w:val="0"/>
          <w:sz w:val="22"/>
          <w:szCs w:val="22"/>
        </w:rPr>
        <w:t xml:space="preserve">, </w:t>
      </w:r>
      <w:r>
        <w:rPr>
          <w:rFonts w:hint="default" w:ascii="Times New Roman" w:hAnsi="Times New Roman" w:eastAsia="Batang" w:cs="Times New Roman"/>
          <w:b w:val="0"/>
          <w:bCs w:val="0"/>
          <w:sz w:val="22"/>
          <w:szCs w:val="22"/>
          <w:lang w:val="en-US" w:eastAsia="zh-CN"/>
        </w:rPr>
        <w:t>Revised</w:t>
      </w:r>
      <w:r>
        <w:rPr>
          <w:rFonts w:hint="default" w:ascii="Times New Roman" w:hAnsi="Times New Roman" w:eastAsia="Batang" w:cs="Times New Roman"/>
          <w:b w:val="0"/>
          <w:bCs w:val="0"/>
          <w:sz w:val="22"/>
          <w:szCs w:val="22"/>
          <w:lang w:eastAsia="zh-CN"/>
        </w:rPr>
        <w:t xml:space="preserve"> WID</w:t>
      </w:r>
      <w:r>
        <w:rPr>
          <w:rFonts w:hint="default" w:ascii="Times New Roman" w:hAnsi="Times New Roman" w:eastAsia="Batang" w:cs="Times New Roman"/>
          <w:b w:val="0"/>
          <w:bCs w:val="0"/>
          <w:sz w:val="22"/>
          <w:szCs w:val="22"/>
          <w:lang w:val="en-US" w:eastAsia="zh-CN"/>
        </w:rPr>
        <w:t xml:space="preserve"> on low band carrier aggregation via switching</w:t>
      </w:r>
      <w:r>
        <w:rPr>
          <w:rFonts w:hint="default" w:ascii="Times New Roman" w:hAnsi="Times New Roman" w:cs="Times New Roman"/>
          <w:b w:val="0"/>
          <w:bCs w:val="0"/>
          <w:sz w:val="22"/>
          <w:szCs w:val="22"/>
          <w:lang w:eastAsia="zh-CN"/>
        </w:rPr>
        <w:t>.</w:t>
      </w:r>
    </w:p>
    <w:p w14:paraId="4283DACE">
      <w:pPr>
        <w:spacing w:after="0" w:line="320" w:lineRule="exact"/>
        <w:jc w:val="both"/>
        <w:rPr>
          <w:rFonts w:hint="default" w:ascii="Times New Roman" w:hAnsi="Times New Roman" w:cs="Times New Roman"/>
          <w:sz w:val="22"/>
          <w:szCs w:val="22"/>
          <w:lang w:eastAsia="zh-CN"/>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Math">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7"/>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3"/>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2"/>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6"/>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2">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14">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5">
    <w:nsid w:val="7AB65B36"/>
    <w:multiLevelType w:val="multilevel"/>
    <w:tmpl w:val="7AB65B36"/>
    <w:lvl w:ilvl="0" w:tentative="0">
      <w:start w:val="1"/>
      <w:numFmt w:val="bullet"/>
      <w:pStyle w:val="83"/>
      <w:lvlText w:val=""/>
      <w:lvlJc w:val="left"/>
      <w:pPr>
        <w:ind w:left="1160" w:hanging="440"/>
      </w:pPr>
      <w:rPr>
        <w:rFonts w:hint="default" w:ascii="Wingdings" w:hAnsi="Wingdings"/>
      </w:rPr>
    </w:lvl>
    <w:lvl w:ilvl="1" w:tentative="0">
      <w:start w:val="1"/>
      <w:numFmt w:val="bullet"/>
      <w:lvlText w:val=""/>
      <w:lvlJc w:val="left"/>
      <w:pPr>
        <w:ind w:left="1600" w:hanging="440"/>
      </w:pPr>
      <w:rPr>
        <w:rFonts w:hint="default" w:ascii="Wingdings" w:hAnsi="Wingdings"/>
      </w:rPr>
    </w:lvl>
    <w:lvl w:ilvl="2" w:tentative="0">
      <w:start w:val="1"/>
      <w:numFmt w:val="bullet"/>
      <w:lvlText w:val=""/>
      <w:lvlJc w:val="left"/>
      <w:pPr>
        <w:ind w:left="2040" w:hanging="440"/>
      </w:pPr>
      <w:rPr>
        <w:rFonts w:hint="default" w:ascii="Wingdings" w:hAnsi="Wingdings"/>
      </w:rPr>
    </w:lvl>
    <w:lvl w:ilvl="3" w:tentative="0">
      <w:start w:val="1"/>
      <w:numFmt w:val="bullet"/>
      <w:lvlText w:val=""/>
      <w:lvlJc w:val="left"/>
      <w:pPr>
        <w:ind w:left="2480" w:hanging="440"/>
      </w:pPr>
      <w:rPr>
        <w:rFonts w:hint="default" w:ascii="Wingdings" w:hAnsi="Wingdings"/>
      </w:rPr>
    </w:lvl>
    <w:lvl w:ilvl="4" w:tentative="0">
      <w:start w:val="1"/>
      <w:numFmt w:val="bullet"/>
      <w:lvlText w:val=""/>
      <w:lvlJc w:val="left"/>
      <w:pPr>
        <w:ind w:left="2920" w:hanging="440"/>
      </w:pPr>
      <w:rPr>
        <w:rFonts w:hint="default" w:ascii="Wingdings" w:hAnsi="Wingdings"/>
      </w:rPr>
    </w:lvl>
    <w:lvl w:ilvl="5" w:tentative="0">
      <w:start w:val="1"/>
      <w:numFmt w:val="bullet"/>
      <w:lvlText w:val=""/>
      <w:lvlJc w:val="left"/>
      <w:pPr>
        <w:ind w:left="3360" w:hanging="440"/>
      </w:pPr>
      <w:rPr>
        <w:rFonts w:hint="default" w:ascii="Wingdings" w:hAnsi="Wingdings"/>
      </w:rPr>
    </w:lvl>
    <w:lvl w:ilvl="6" w:tentative="0">
      <w:start w:val="1"/>
      <w:numFmt w:val="bullet"/>
      <w:lvlText w:val=""/>
      <w:lvlJc w:val="left"/>
      <w:pPr>
        <w:ind w:left="3800" w:hanging="440"/>
      </w:pPr>
      <w:rPr>
        <w:rFonts w:hint="default" w:ascii="Wingdings" w:hAnsi="Wingdings"/>
      </w:rPr>
    </w:lvl>
    <w:lvl w:ilvl="7" w:tentative="0">
      <w:start w:val="1"/>
      <w:numFmt w:val="bullet"/>
      <w:lvlText w:val=""/>
      <w:lvlJc w:val="left"/>
      <w:pPr>
        <w:ind w:left="4240" w:hanging="440"/>
      </w:pPr>
      <w:rPr>
        <w:rFonts w:hint="default" w:ascii="Wingdings" w:hAnsi="Wingdings"/>
      </w:rPr>
    </w:lvl>
    <w:lvl w:ilvl="8" w:tentative="0">
      <w:start w:val="1"/>
      <w:numFmt w:val="bullet"/>
      <w:lvlText w:val=""/>
      <w:lvlJc w:val="left"/>
      <w:pPr>
        <w:ind w:left="4680" w:hanging="440"/>
      </w:pPr>
      <w:rPr>
        <w:rFonts w:hint="default" w:ascii="Wingdings" w:hAnsi="Wingdings"/>
      </w:rPr>
    </w:lvl>
  </w:abstractNum>
  <w:num w:numId="1">
    <w:abstractNumId w:val="11"/>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5"/>
  </w:num>
  <w:num w:numId="13">
    <w:abstractNumId w:val="12"/>
  </w:num>
  <w:num w:numId="14">
    <w:abstractNumId w:val="13"/>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jQ3Mzc2ZmZiNzdmYjJkMjNiYzBiYmNlOGQyZDUifQ=="/>
  </w:docVars>
  <w:rsids>
    <w:rsidRoot w:val="4D8F1B29"/>
    <w:rsid w:val="00001D7E"/>
    <w:rsid w:val="0000259A"/>
    <w:rsid w:val="000031AE"/>
    <w:rsid w:val="000070CC"/>
    <w:rsid w:val="000127C2"/>
    <w:rsid w:val="000140CD"/>
    <w:rsid w:val="00014857"/>
    <w:rsid w:val="0001600B"/>
    <w:rsid w:val="00022C16"/>
    <w:rsid w:val="00023008"/>
    <w:rsid w:val="000320A6"/>
    <w:rsid w:val="00032102"/>
    <w:rsid w:val="000367B4"/>
    <w:rsid w:val="00040DCD"/>
    <w:rsid w:val="0005082B"/>
    <w:rsid w:val="00050AC7"/>
    <w:rsid w:val="00050E9C"/>
    <w:rsid w:val="00054054"/>
    <w:rsid w:val="000560CB"/>
    <w:rsid w:val="00056388"/>
    <w:rsid w:val="00061344"/>
    <w:rsid w:val="00062FDB"/>
    <w:rsid w:val="00065EA4"/>
    <w:rsid w:val="0006641C"/>
    <w:rsid w:val="00066C9B"/>
    <w:rsid w:val="0007190C"/>
    <w:rsid w:val="00076299"/>
    <w:rsid w:val="000818EC"/>
    <w:rsid w:val="00082011"/>
    <w:rsid w:val="00086CF3"/>
    <w:rsid w:val="000878A1"/>
    <w:rsid w:val="00093A1E"/>
    <w:rsid w:val="00093E54"/>
    <w:rsid w:val="0009412F"/>
    <w:rsid w:val="000946D7"/>
    <w:rsid w:val="00097B64"/>
    <w:rsid w:val="000A3D8A"/>
    <w:rsid w:val="000A437C"/>
    <w:rsid w:val="000A542E"/>
    <w:rsid w:val="000A5783"/>
    <w:rsid w:val="000A7E77"/>
    <w:rsid w:val="000B2EAF"/>
    <w:rsid w:val="000B62DF"/>
    <w:rsid w:val="000C439F"/>
    <w:rsid w:val="000C72A7"/>
    <w:rsid w:val="000D0EBE"/>
    <w:rsid w:val="000D15CE"/>
    <w:rsid w:val="000D4AD3"/>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46907"/>
    <w:rsid w:val="00147DCD"/>
    <w:rsid w:val="0015024B"/>
    <w:rsid w:val="001530C2"/>
    <w:rsid w:val="00155E5F"/>
    <w:rsid w:val="001570CE"/>
    <w:rsid w:val="001602FD"/>
    <w:rsid w:val="00163F21"/>
    <w:rsid w:val="001643D6"/>
    <w:rsid w:val="0017077C"/>
    <w:rsid w:val="0017760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30C7F"/>
    <w:rsid w:val="00230EF9"/>
    <w:rsid w:val="002313ED"/>
    <w:rsid w:val="0023725D"/>
    <w:rsid w:val="0024082D"/>
    <w:rsid w:val="0024208D"/>
    <w:rsid w:val="002423BD"/>
    <w:rsid w:val="0024246C"/>
    <w:rsid w:val="00242CA2"/>
    <w:rsid w:val="00246018"/>
    <w:rsid w:val="00255689"/>
    <w:rsid w:val="002558C2"/>
    <w:rsid w:val="00257ECC"/>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87C40"/>
    <w:rsid w:val="00294CB8"/>
    <w:rsid w:val="002953EF"/>
    <w:rsid w:val="002A057C"/>
    <w:rsid w:val="002B0617"/>
    <w:rsid w:val="002B118E"/>
    <w:rsid w:val="002B17B2"/>
    <w:rsid w:val="002B4B0D"/>
    <w:rsid w:val="002B5B89"/>
    <w:rsid w:val="002C0E0D"/>
    <w:rsid w:val="002C1788"/>
    <w:rsid w:val="002C23C2"/>
    <w:rsid w:val="002C3AC7"/>
    <w:rsid w:val="002C4687"/>
    <w:rsid w:val="002C6DF2"/>
    <w:rsid w:val="002D004B"/>
    <w:rsid w:val="002D235E"/>
    <w:rsid w:val="002D283A"/>
    <w:rsid w:val="002D7E8C"/>
    <w:rsid w:val="002E0740"/>
    <w:rsid w:val="002E5381"/>
    <w:rsid w:val="002F26EA"/>
    <w:rsid w:val="002F371E"/>
    <w:rsid w:val="002F3959"/>
    <w:rsid w:val="003003F6"/>
    <w:rsid w:val="003012A4"/>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4719B"/>
    <w:rsid w:val="003515DB"/>
    <w:rsid w:val="00353E26"/>
    <w:rsid w:val="003549B4"/>
    <w:rsid w:val="00356374"/>
    <w:rsid w:val="00361469"/>
    <w:rsid w:val="00361FB7"/>
    <w:rsid w:val="003634FB"/>
    <w:rsid w:val="0036352A"/>
    <w:rsid w:val="00364C66"/>
    <w:rsid w:val="00365863"/>
    <w:rsid w:val="00373854"/>
    <w:rsid w:val="003758F0"/>
    <w:rsid w:val="00377010"/>
    <w:rsid w:val="0038139C"/>
    <w:rsid w:val="0038322C"/>
    <w:rsid w:val="00383391"/>
    <w:rsid w:val="00386240"/>
    <w:rsid w:val="0038642C"/>
    <w:rsid w:val="00386ABB"/>
    <w:rsid w:val="00386E0B"/>
    <w:rsid w:val="003922E9"/>
    <w:rsid w:val="00397816"/>
    <w:rsid w:val="003A5967"/>
    <w:rsid w:val="003A67FE"/>
    <w:rsid w:val="003B46DC"/>
    <w:rsid w:val="003C46D2"/>
    <w:rsid w:val="003C4CA0"/>
    <w:rsid w:val="003C79E7"/>
    <w:rsid w:val="003D0840"/>
    <w:rsid w:val="003D2CEF"/>
    <w:rsid w:val="003D4186"/>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50E"/>
    <w:rsid w:val="00403DB9"/>
    <w:rsid w:val="004047B3"/>
    <w:rsid w:val="00415752"/>
    <w:rsid w:val="00422CD5"/>
    <w:rsid w:val="00424CE6"/>
    <w:rsid w:val="004310DC"/>
    <w:rsid w:val="004314B1"/>
    <w:rsid w:val="00431775"/>
    <w:rsid w:val="00431786"/>
    <w:rsid w:val="004347C7"/>
    <w:rsid w:val="004377DA"/>
    <w:rsid w:val="00441CC8"/>
    <w:rsid w:val="00453C3A"/>
    <w:rsid w:val="004558B9"/>
    <w:rsid w:val="004567C5"/>
    <w:rsid w:val="004576C5"/>
    <w:rsid w:val="004578A9"/>
    <w:rsid w:val="00457E1C"/>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D4506"/>
    <w:rsid w:val="004E63DE"/>
    <w:rsid w:val="004F1FAC"/>
    <w:rsid w:val="004F22AE"/>
    <w:rsid w:val="004F2B3D"/>
    <w:rsid w:val="004F59CB"/>
    <w:rsid w:val="00500474"/>
    <w:rsid w:val="00500DC4"/>
    <w:rsid w:val="00501E06"/>
    <w:rsid w:val="00502B0E"/>
    <w:rsid w:val="00504D3A"/>
    <w:rsid w:val="00506BE5"/>
    <w:rsid w:val="00510AC1"/>
    <w:rsid w:val="005129F5"/>
    <w:rsid w:val="00514A66"/>
    <w:rsid w:val="00517946"/>
    <w:rsid w:val="005221EA"/>
    <w:rsid w:val="00523E3D"/>
    <w:rsid w:val="00524899"/>
    <w:rsid w:val="00527D7C"/>
    <w:rsid w:val="005308CC"/>
    <w:rsid w:val="0053092D"/>
    <w:rsid w:val="00531438"/>
    <w:rsid w:val="00531DF7"/>
    <w:rsid w:val="005339CB"/>
    <w:rsid w:val="00534AAD"/>
    <w:rsid w:val="00534E4B"/>
    <w:rsid w:val="005407F8"/>
    <w:rsid w:val="00541442"/>
    <w:rsid w:val="00541BAE"/>
    <w:rsid w:val="00543B4B"/>
    <w:rsid w:val="005441D2"/>
    <w:rsid w:val="00545A54"/>
    <w:rsid w:val="00545B03"/>
    <w:rsid w:val="00546B45"/>
    <w:rsid w:val="00550234"/>
    <w:rsid w:val="005524ED"/>
    <w:rsid w:val="00552C24"/>
    <w:rsid w:val="0056297E"/>
    <w:rsid w:val="00565DA6"/>
    <w:rsid w:val="00580C11"/>
    <w:rsid w:val="00584D06"/>
    <w:rsid w:val="00585BDA"/>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BCB"/>
    <w:rsid w:val="005D658A"/>
    <w:rsid w:val="005D6DB0"/>
    <w:rsid w:val="005F0362"/>
    <w:rsid w:val="005F1BAC"/>
    <w:rsid w:val="005F2BA2"/>
    <w:rsid w:val="005F3F53"/>
    <w:rsid w:val="005F4E75"/>
    <w:rsid w:val="00600E7B"/>
    <w:rsid w:val="0060379E"/>
    <w:rsid w:val="00606F0F"/>
    <w:rsid w:val="00607873"/>
    <w:rsid w:val="006101F4"/>
    <w:rsid w:val="00610DEE"/>
    <w:rsid w:val="006116B9"/>
    <w:rsid w:val="006137D6"/>
    <w:rsid w:val="0061637C"/>
    <w:rsid w:val="00616C93"/>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87575"/>
    <w:rsid w:val="006955F6"/>
    <w:rsid w:val="006970B6"/>
    <w:rsid w:val="006A3CE6"/>
    <w:rsid w:val="006A5862"/>
    <w:rsid w:val="006A7AA4"/>
    <w:rsid w:val="006B195F"/>
    <w:rsid w:val="006B2344"/>
    <w:rsid w:val="006B3808"/>
    <w:rsid w:val="006B4A4A"/>
    <w:rsid w:val="006C27BC"/>
    <w:rsid w:val="006C320E"/>
    <w:rsid w:val="006C3803"/>
    <w:rsid w:val="006C5C1E"/>
    <w:rsid w:val="006C63F1"/>
    <w:rsid w:val="006D303A"/>
    <w:rsid w:val="006D33AF"/>
    <w:rsid w:val="006D63B7"/>
    <w:rsid w:val="006D74FE"/>
    <w:rsid w:val="006D7E67"/>
    <w:rsid w:val="006F28CD"/>
    <w:rsid w:val="006F38D0"/>
    <w:rsid w:val="006F5A97"/>
    <w:rsid w:val="006F7BC3"/>
    <w:rsid w:val="00700919"/>
    <w:rsid w:val="00701A90"/>
    <w:rsid w:val="00704270"/>
    <w:rsid w:val="0070471C"/>
    <w:rsid w:val="00705A9E"/>
    <w:rsid w:val="007067A7"/>
    <w:rsid w:val="007072ED"/>
    <w:rsid w:val="00711797"/>
    <w:rsid w:val="0071184E"/>
    <w:rsid w:val="00714BD2"/>
    <w:rsid w:val="007158A4"/>
    <w:rsid w:val="0072008B"/>
    <w:rsid w:val="007205DB"/>
    <w:rsid w:val="00730119"/>
    <w:rsid w:val="0073477D"/>
    <w:rsid w:val="0073632C"/>
    <w:rsid w:val="00737E85"/>
    <w:rsid w:val="00745334"/>
    <w:rsid w:val="00745E1C"/>
    <w:rsid w:val="00746A4B"/>
    <w:rsid w:val="00750BFB"/>
    <w:rsid w:val="0075342C"/>
    <w:rsid w:val="00753D2C"/>
    <w:rsid w:val="007613F8"/>
    <w:rsid w:val="007616EC"/>
    <w:rsid w:val="00763BBD"/>
    <w:rsid w:val="00764B28"/>
    <w:rsid w:val="00765A3B"/>
    <w:rsid w:val="00767B7A"/>
    <w:rsid w:val="0077562D"/>
    <w:rsid w:val="00775E2B"/>
    <w:rsid w:val="007773AF"/>
    <w:rsid w:val="0077781A"/>
    <w:rsid w:val="007837F2"/>
    <w:rsid w:val="007867C9"/>
    <w:rsid w:val="00786E51"/>
    <w:rsid w:val="00787079"/>
    <w:rsid w:val="007879BB"/>
    <w:rsid w:val="00787BE3"/>
    <w:rsid w:val="007969B3"/>
    <w:rsid w:val="007A0793"/>
    <w:rsid w:val="007A1217"/>
    <w:rsid w:val="007A7A49"/>
    <w:rsid w:val="007B21B8"/>
    <w:rsid w:val="007B6C51"/>
    <w:rsid w:val="007B946E"/>
    <w:rsid w:val="007C1B3A"/>
    <w:rsid w:val="007C2444"/>
    <w:rsid w:val="007C2B79"/>
    <w:rsid w:val="007C30D5"/>
    <w:rsid w:val="007C5239"/>
    <w:rsid w:val="007C6BF3"/>
    <w:rsid w:val="007D3064"/>
    <w:rsid w:val="007D47ED"/>
    <w:rsid w:val="007D50DB"/>
    <w:rsid w:val="007D58C7"/>
    <w:rsid w:val="007D711A"/>
    <w:rsid w:val="007E11C0"/>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2BA5"/>
    <w:rsid w:val="008D5B85"/>
    <w:rsid w:val="008E0887"/>
    <w:rsid w:val="008E0DED"/>
    <w:rsid w:val="008E1BF6"/>
    <w:rsid w:val="008E2DCC"/>
    <w:rsid w:val="008E4057"/>
    <w:rsid w:val="008E5D3E"/>
    <w:rsid w:val="008E6692"/>
    <w:rsid w:val="008F289B"/>
    <w:rsid w:val="008F56F3"/>
    <w:rsid w:val="008F59DF"/>
    <w:rsid w:val="008F5AA6"/>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A1B0E"/>
    <w:rsid w:val="009B0039"/>
    <w:rsid w:val="009B08C9"/>
    <w:rsid w:val="009B2231"/>
    <w:rsid w:val="009B49FE"/>
    <w:rsid w:val="009B5E5C"/>
    <w:rsid w:val="009B6C15"/>
    <w:rsid w:val="009C433B"/>
    <w:rsid w:val="009C6D4C"/>
    <w:rsid w:val="009D0FBF"/>
    <w:rsid w:val="009E1D5A"/>
    <w:rsid w:val="009E229B"/>
    <w:rsid w:val="009E468F"/>
    <w:rsid w:val="009E4C30"/>
    <w:rsid w:val="009E5495"/>
    <w:rsid w:val="009E58AD"/>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75D7A"/>
    <w:rsid w:val="00A828CA"/>
    <w:rsid w:val="00A84C84"/>
    <w:rsid w:val="00A84F72"/>
    <w:rsid w:val="00A859D9"/>
    <w:rsid w:val="00A86289"/>
    <w:rsid w:val="00A90F50"/>
    <w:rsid w:val="00A91DC7"/>
    <w:rsid w:val="00A94327"/>
    <w:rsid w:val="00A94330"/>
    <w:rsid w:val="00AA0736"/>
    <w:rsid w:val="00AA513F"/>
    <w:rsid w:val="00AB02CB"/>
    <w:rsid w:val="00AB0F7D"/>
    <w:rsid w:val="00AB18E1"/>
    <w:rsid w:val="00AB3F2E"/>
    <w:rsid w:val="00AB4CC8"/>
    <w:rsid w:val="00AC3CE7"/>
    <w:rsid w:val="00AC5676"/>
    <w:rsid w:val="00AD1093"/>
    <w:rsid w:val="00AD48BD"/>
    <w:rsid w:val="00AD4CF0"/>
    <w:rsid w:val="00AD5435"/>
    <w:rsid w:val="00AD6E41"/>
    <w:rsid w:val="00AE1ED3"/>
    <w:rsid w:val="00AE1EE4"/>
    <w:rsid w:val="00AE7831"/>
    <w:rsid w:val="00AF281D"/>
    <w:rsid w:val="00AF2858"/>
    <w:rsid w:val="00AF484A"/>
    <w:rsid w:val="00AF78D7"/>
    <w:rsid w:val="00AF7958"/>
    <w:rsid w:val="00B01664"/>
    <w:rsid w:val="00B02958"/>
    <w:rsid w:val="00B05E41"/>
    <w:rsid w:val="00B26801"/>
    <w:rsid w:val="00B36C88"/>
    <w:rsid w:val="00B415EA"/>
    <w:rsid w:val="00B45731"/>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6FF"/>
    <w:rsid w:val="00BB1813"/>
    <w:rsid w:val="00BB4C90"/>
    <w:rsid w:val="00BB6A9D"/>
    <w:rsid w:val="00BC12E1"/>
    <w:rsid w:val="00BC1873"/>
    <w:rsid w:val="00BC2F56"/>
    <w:rsid w:val="00BC4744"/>
    <w:rsid w:val="00BC4A80"/>
    <w:rsid w:val="00BC5B6F"/>
    <w:rsid w:val="00BC5CF4"/>
    <w:rsid w:val="00BC7D54"/>
    <w:rsid w:val="00BD266E"/>
    <w:rsid w:val="00BD2EFA"/>
    <w:rsid w:val="00BD3173"/>
    <w:rsid w:val="00BE1A6C"/>
    <w:rsid w:val="00BE361E"/>
    <w:rsid w:val="00BE4683"/>
    <w:rsid w:val="00BE7815"/>
    <w:rsid w:val="00C01452"/>
    <w:rsid w:val="00C0420B"/>
    <w:rsid w:val="00C05A0D"/>
    <w:rsid w:val="00C07332"/>
    <w:rsid w:val="00C074AC"/>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4DD8"/>
    <w:rsid w:val="00C66455"/>
    <w:rsid w:val="00C7023F"/>
    <w:rsid w:val="00C75371"/>
    <w:rsid w:val="00C75432"/>
    <w:rsid w:val="00C8041C"/>
    <w:rsid w:val="00C80B0D"/>
    <w:rsid w:val="00C80B7F"/>
    <w:rsid w:val="00C83AE1"/>
    <w:rsid w:val="00C86A16"/>
    <w:rsid w:val="00C87E4E"/>
    <w:rsid w:val="00C93604"/>
    <w:rsid w:val="00C9472C"/>
    <w:rsid w:val="00C97B15"/>
    <w:rsid w:val="00CA1D95"/>
    <w:rsid w:val="00CA272E"/>
    <w:rsid w:val="00CA66DB"/>
    <w:rsid w:val="00CB2750"/>
    <w:rsid w:val="00CC42CD"/>
    <w:rsid w:val="00CD1DEB"/>
    <w:rsid w:val="00CD25AE"/>
    <w:rsid w:val="00CD303E"/>
    <w:rsid w:val="00CD4972"/>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19E"/>
    <w:rsid w:val="00D57ABC"/>
    <w:rsid w:val="00D613BE"/>
    <w:rsid w:val="00D62E92"/>
    <w:rsid w:val="00D70FDC"/>
    <w:rsid w:val="00D80D44"/>
    <w:rsid w:val="00D819AE"/>
    <w:rsid w:val="00D81A8A"/>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670E"/>
    <w:rsid w:val="00DC7DDE"/>
    <w:rsid w:val="00DD64D1"/>
    <w:rsid w:val="00DE1ADC"/>
    <w:rsid w:val="00DE2141"/>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33D57"/>
    <w:rsid w:val="00E346C8"/>
    <w:rsid w:val="00E35ACD"/>
    <w:rsid w:val="00E36590"/>
    <w:rsid w:val="00E37047"/>
    <w:rsid w:val="00E41966"/>
    <w:rsid w:val="00E438FF"/>
    <w:rsid w:val="00E4555C"/>
    <w:rsid w:val="00E50A0B"/>
    <w:rsid w:val="00E51A05"/>
    <w:rsid w:val="00E53D1C"/>
    <w:rsid w:val="00E55A2D"/>
    <w:rsid w:val="00E56279"/>
    <w:rsid w:val="00E601D6"/>
    <w:rsid w:val="00E604B0"/>
    <w:rsid w:val="00E609D5"/>
    <w:rsid w:val="00E66A57"/>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331"/>
    <w:rsid w:val="00ED0E5C"/>
    <w:rsid w:val="00ED14F7"/>
    <w:rsid w:val="00ED1D6F"/>
    <w:rsid w:val="00ED5B55"/>
    <w:rsid w:val="00ED672C"/>
    <w:rsid w:val="00EE79C7"/>
    <w:rsid w:val="00EF0D63"/>
    <w:rsid w:val="00EF2592"/>
    <w:rsid w:val="00EF64BC"/>
    <w:rsid w:val="00F01D0E"/>
    <w:rsid w:val="00F03487"/>
    <w:rsid w:val="00F06077"/>
    <w:rsid w:val="00F07111"/>
    <w:rsid w:val="00F07C8A"/>
    <w:rsid w:val="00F12067"/>
    <w:rsid w:val="00F13354"/>
    <w:rsid w:val="00F22CD5"/>
    <w:rsid w:val="00F25394"/>
    <w:rsid w:val="00F25576"/>
    <w:rsid w:val="00F26176"/>
    <w:rsid w:val="00F30DDA"/>
    <w:rsid w:val="00F34A32"/>
    <w:rsid w:val="00F42A4A"/>
    <w:rsid w:val="00F45A93"/>
    <w:rsid w:val="00F5257D"/>
    <w:rsid w:val="00F539F0"/>
    <w:rsid w:val="00F553F0"/>
    <w:rsid w:val="00F56735"/>
    <w:rsid w:val="00F56A75"/>
    <w:rsid w:val="00F6009E"/>
    <w:rsid w:val="00F61F0D"/>
    <w:rsid w:val="00F62D75"/>
    <w:rsid w:val="00F638C1"/>
    <w:rsid w:val="00F64586"/>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116A"/>
    <w:rsid w:val="00FE217E"/>
    <w:rsid w:val="00FE2457"/>
    <w:rsid w:val="00FF195B"/>
    <w:rsid w:val="00FF26C1"/>
    <w:rsid w:val="00FF3BEB"/>
    <w:rsid w:val="00FF3E5D"/>
    <w:rsid w:val="00FF5D7C"/>
    <w:rsid w:val="0123A874"/>
    <w:rsid w:val="0133BB3F"/>
    <w:rsid w:val="0136E97A"/>
    <w:rsid w:val="013B4944"/>
    <w:rsid w:val="016719BD"/>
    <w:rsid w:val="01CE3A0A"/>
    <w:rsid w:val="01EFCF30"/>
    <w:rsid w:val="0225E0EB"/>
    <w:rsid w:val="023F2212"/>
    <w:rsid w:val="02421D02"/>
    <w:rsid w:val="0255040E"/>
    <w:rsid w:val="02866093"/>
    <w:rsid w:val="02A9D20C"/>
    <w:rsid w:val="02E8A27A"/>
    <w:rsid w:val="02F31AA5"/>
    <w:rsid w:val="030A66F6"/>
    <w:rsid w:val="0319EBDD"/>
    <w:rsid w:val="035FB593"/>
    <w:rsid w:val="03DA882E"/>
    <w:rsid w:val="04001F42"/>
    <w:rsid w:val="04294F27"/>
    <w:rsid w:val="044AE181"/>
    <w:rsid w:val="046E7CA1"/>
    <w:rsid w:val="0470CB69"/>
    <w:rsid w:val="049AC1DA"/>
    <w:rsid w:val="04AF894B"/>
    <w:rsid w:val="04B7EEEC"/>
    <w:rsid w:val="04BC5D9C"/>
    <w:rsid w:val="05170861"/>
    <w:rsid w:val="0529A381"/>
    <w:rsid w:val="05363730"/>
    <w:rsid w:val="053957E9"/>
    <w:rsid w:val="0586C6AE"/>
    <w:rsid w:val="0586E685"/>
    <w:rsid w:val="05E337FC"/>
    <w:rsid w:val="05FDCBE7"/>
    <w:rsid w:val="063526D8"/>
    <w:rsid w:val="06C75075"/>
    <w:rsid w:val="06CE58E5"/>
    <w:rsid w:val="0764271A"/>
    <w:rsid w:val="079FB564"/>
    <w:rsid w:val="0801F5C7"/>
    <w:rsid w:val="08147C9D"/>
    <w:rsid w:val="08310935"/>
    <w:rsid w:val="0858227F"/>
    <w:rsid w:val="087DD5D7"/>
    <w:rsid w:val="08822E3D"/>
    <w:rsid w:val="08CA1D39"/>
    <w:rsid w:val="08DCC2E6"/>
    <w:rsid w:val="08E9F47C"/>
    <w:rsid w:val="090D12BC"/>
    <w:rsid w:val="091E4A1B"/>
    <w:rsid w:val="0929A3C6"/>
    <w:rsid w:val="0965AFAD"/>
    <w:rsid w:val="09AA5725"/>
    <w:rsid w:val="09E0252C"/>
    <w:rsid w:val="09FF799E"/>
    <w:rsid w:val="0A4719EC"/>
    <w:rsid w:val="0A6E1DD9"/>
    <w:rsid w:val="0A79468A"/>
    <w:rsid w:val="0ADFF95F"/>
    <w:rsid w:val="0B0709E9"/>
    <w:rsid w:val="0B73117E"/>
    <w:rsid w:val="0B8DAE2B"/>
    <w:rsid w:val="0BAEB4CB"/>
    <w:rsid w:val="0BB43C70"/>
    <w:rsid w:val="0BE2E05D"/>
    <w:rsid w:val="0BE47415"/>
    <w:rsid w:val="0C6A8937"/>
    <w:rsid w:val="0C7CC34F"/>
    <w:rsid w:val="0C886EAB"/>
    <w:rsid w:val="0C92335F"/>
    <w:rsid w:val="0CB4776A"/>
    <w:rsid w:val="0CC3CEB4"/>
    <w:rsid w:val="0CC4734A"/>
    <w:rsid w:val="0CF84031"/>
    <w:rsid w:val="0D164473"/>
    <w:rsid w:val="0D1F511A"/>
    <w:rsid w:val="0D294128"/>
    <w:rsid w:val="0D3B2A0B"/>
    <w:rsid w:val="0D481988"/>
    <w:rsid w:val="0D72D172"/>
    <w:rsid w:val="0DA71FDE"/>
    <w:rsid w:val="0DBAC47D"/>
    <w:rsid w:val="0DCB7A54"/>
    <w:rsid w:val="0E176739"/>
    <w:rsid w:val="0E297BB7"/>
    <w:rsid w:val="0E3F22F9"/>
    <w:rsid w:val="0E69C83F"/>
    <w:rsid w:val="0E94E810"/>
    <w:rsid w:val="0EE2BDB8"/>
    <w:rsid w:val="0F1B8311"/>
    <w:rsid w:val="0F2353ED"/>
    <w:rsid w:val="0FD50659"/>
    <w:rsid w:val="0FDA0FEA"/>
    <w:rsid w:val="0FDD12BC"/>
    <w:rsid w:val="0FF0E729"/>
    <w:rsid w:val="100EB924"/>
    <w:rsid w:val="10B169D0"/>
    <w:rsid w:val="10C0711E"/>
    <w:rsid w:val="10D601E5"/>
    <w:rsid w:val="10D69AC2"/>
    <w:rsid w:val="10E02E12"/>
    <w:rsid w:val="112216B0"/>
    <w:rsid w:val="112BC27A"/>
    <w:rsid w:val="11417E6E"/>
    <w:rsid w:val="1146397E"/>
    <w:rsid w:val="1163F467"/>
    <w:rsid w:val="117B0D8C"/>
    <w:rsid w:val="1182211B"/>
    <w:rsid w:val="11E537DC"/>
    <w:rsid w:val="11F8E337"/>
    <w:rsid w:val="11F9BD5C"/>
    <w:rsid w:val="11FF2556"/>
    <w:rsid w:val="120B0362"/>
    <w:rsid w:val="125353A4"/>
    <w:rsid w:val="126D8C33"/>
    <w:rsid w:val="12904258"/>
    <w:rsid w:val="12B427A8"/>
    <w:rsid w:val="12E0359D"/>
    <w:rsid w:val="138704D0"/>
    <w:rsid w:val="13F95C51"/>
    <w:rsid w:val="1414FD11"/>
    <w:rsid w:val="141F6347"/>
    <w:rsid w:val="144593D6"/>
    <w:rsid w:val="14631A2F"/>
    <w:rsid w:val="1469E35D"/>
    <w:rsid w:val="14A83371"/>
    <w:rsid w:val="14CFEAF3"/>
    <w:rsid w:val="15155054"/>
    <w:rsid w:val="1530A9DC"/>
    <w:rsid w:val="15A308B2"/>
    <w:rsid w:val="15BFE8C7"/>
    <w:rsid w:val="15DD0268"/>
    <w:rsid w:val="15F13C9F"/>
    <w:rsid w:val="15F36ED7"/>
    <w:rsid w:val="16007AB2"/>
    <w:rsid w:val="16220B7E"/>
    <w:rsid w:val="1628698F"/>
    <w:rsid w:val="1637E367"/>
    <w:rsid w:val="16970752"/>
    <w:rsid w:val="16EE0173"/>
    <w:rsid w:val="174F47ED"/>
    <w:rsid w:val="176D27B6"/>
    <w:rsid w:val="17D776FB"/>
    <w:rsid w:val="17FF44C5"/>
    <w:rsid w:val="1812BDF7"/>
    <w:rsid w:val="181E2472"/>
    <w:rsid w:val="189F4623"/>
    <w:rsid w:val="193422AD"/>
    <w:rsid w:val="197F151F"/>
    <w:rsid w:val="198C9AE4"/>
    <w:rsid w:val="19A277FE"/>
    <w:rsid w:val="19AFE486"/>
    <w:rsid w:val="19B3164C"/>
    <w:rsid w:val="1A337354"/>
    <w:rsid w:val="1A4FC86D"/>
    <w:rsid w:val="1A5A1E87"/>
    <w:rsid w:val="1AA89237"/>
    <w:rsid w:val="1AE43128"/>
    <w:rsid w:val="1B1C538E"/>
    <w:rsid w:val="1B487F15"/>
    <w:rsid w:val="1B55264E"/>
    <w:rsid w:val="1B59213E"/>
    <w:rsid w:val="1B6C00C4"/>
    <w:rsid w:val="1B9DCEF8"/>
    <w:rsid w:val="1BAE5C27"/>
    <w:rsid w:val="1BB776A2"/>
    <w:rsid w:val="1BE1682F"/>
    <w:rsid w:val="1C00A652"/>
    <w:rsid w:val="1C4DF02A"/>
    <w:rsid w:val="1C4EA865"/>
    <w:rsid w:val="1C5577BA"/>
    <w:rsid w:val="1C5B5A42"/>
    <w:rsid w:val="1C787B9A"/>
    <w:rsid w:val="1CA1A1BD"/>
    <w:rsid w:val="1CC80DDC"/>
    <w:rsid w:val="1D034B5D"/>
    <w:rsid w:val="1D234829"/>
    <w:rsid w:val="1D3FA4B4"/>
    <w:rsid w:val="1D4F25C2"/>
    <w:rsid w:val="1D507CA3"/>
    <w:rsid w:val="1D84C657"/>
    <w:rsid w:val="1D9C9FA8"/>
    <w:rsid w:val="1DC9B5B3"/>
    <w:rsid w:val="1DD3A597"/>
    <w:rsid w:val="1DF61EC7"/>
    <w:rsid w:val="1EAD8AEB"/>
    <w:rsid w:val="1EE2244B"/>
    <w:rsid w:val="1F003AB2"/>
    <w:rsid w:val="1F669F46"/>
    <w:rsid w:val="1F6AA3CD"/>
    <w:rsid w:val="1F943BE0"/>
    <w:rsid w:val="1FB4BFF8"/>
    <w:rsid w:val="1FD13ADE"/>
    <w:rsid w:val="1FEC3ED3"/>
    <w:rsid w:val="20090FAB"/>
    <w:rsid w:val="203B0065"/>
    <w:rsid w:val="203C1D8B"/>
    <w:rsid w:val="20460B71"/>
    <w:rsid w:val="206375BB"/>
    <w:rsid w:val="206EAB48"/>
    <w:rsid w:val="2090009D"/>
    <w:rsid w:val="20913B05"/>
    <w:rsid w:val="20A5D3C6"/>
    <w:rsid w:val="20E42E48"/>
    <w:rsid w:val="20F28EC5"/>
    <w:rsid w:val="2197576F"/>
    <w:rsid w:val="219DF5C9"/>
    <w:rsid w:val="21ACF715"/>
    <w:rsid w:val="2207C847"/>
    <w:rsid w:val="225B0A58"/>
    <w:rsid w:val="23060B8F"/>
    <w:rsid w:val="233F3A34"/>
    <w:rsid w:val="23BBC476"/>
    <w:rsid w:val="23D7DCD5"/>
    <w:rsid w:val="23EB1DA2"/>
    <w:rsid w:val="249C48C1"/>
    <w:rsid w:val="24A622F2"/>
    <w:rsid w:val="24AB04CD"/>
    <w:rsid w:val="24CAF16D"/>
    <w:rsid w:val="24EF58C2"/>
    <w:rsid w:val="24F9DD8B"/>
    <w:rsid w:val="2508283E"/>
    <w:rsid w:val="255A4810"/>
    <w:rsid w:val="257858B7"/>
    <w:rsid w:val="259C3E8B"/>
    <w:rsid w:val="25CC2502"/>
    <w:rsid w:val="25DD571A"/>
    <w:rsid w:val="25EF5587"/>
    <w:rsid w:val="25F45BF3"/>
    <w:rsid w:val="26165E4D"/>
    <w:rsid w:val="26635137"/>
    <w:rsid w:val="2697F204"/>
    <w:rsid w:val="26988F5B"/>
    <w:rsid w:val="26A7AEA5"/>
    <w:rsid w:val="26F59EA5"/>
    <w:rsid w:val="27306DEE"/>
    <w:rsid w:val="27457A1B"/>
    <w:rsid w:val="275365A5"/>
    <w:rsid w:val="275B8092"/>
    <w:rsid w:val="276D5C5F"/>
    <w:rsid w:val="27BDF4B9"/>
    <w:rsid w:val="27F8683B"/>
    <w:rsid w:val="281F026C"/>
    <w:rsid w:val="2852768F"/>
    <w:rsid w:val="285636F4"/>
    <w:rsid w:val="287375A8"/>
    <w:rsid w:val="28B3C2C6"/>
    <w:rsid w:val="2903E555"/>
    <w:rsid w:val="293C5CF3"/>
    <w:rsid w:val="2940049A"/>
    <w:rsid w:val="295960E8"/>
    <w:rsid w:val="29730318"/>
    <w:rsid w:val="299E8EE1"/>
    <w:rsid w:val="29B66E42"/>
    <w:rsid w:val="29C42E79"/>
    <w:rsid w:val="2A061630"/>
    <w:rsid w:val="2A1E487F"/>
    <w:rsid w:val="2A3B7F34"/>
    <w:rsid w:val="2A7577AA"/>
    <w:rsid w:val="2A7C3754"/>
    <w:rsid w:val="2AF0E1DB"/>
    <w:rsid w:val="2BB92785"/>
    <w:rsid w:val="2BE1FE7D"/>
    <w:rsid w:val="2BF8BAF8"/>
    <w:rsid w:val="2C01056A"/>
    <w:rsid w:val="2C05186A"/>
    <w:rsid w:val="2C3F6BF2"/>
    <w:rsid w:val="2C652E9E"/>
    <w:rsid w:val="2D1FA190"/>
    <w:rsid w:val="2D31322C"/>
    <w:rsid w:val="2D4C1B03"/>
    <w:rsid w:val="2D765E71"/>
    <w:rsid w:val="2D993FCF"/>
    <w:rsid w:val="2DF2A170"/>
    <w:rsid w:val="2DFF6406"/>
    <w:rsid w:val="2E045F3A"/>
    <w:rsid w:val="2EED2C96"/>
    <w:rsid w:val="2F1A63FB"/>
    <w:rsid w:val="2F1F39A5"/>
    <w:rsid w:val="2F5E78CC"/>
    <w:rsid w:val="2F6D5D61"/>
    <w:rsid w:val="2F990904"/>
    <w:rsid w:val="2FB80EAC"/>
    <w:rsid w:val="2FE029D7"/>
    <w:rsid w:val="2FE8F272"/>
    <w:rsid w:val="3040EAEC"/>
    <w:rsid w:val="30498B16"/>
    <w:rsid w:val="304EE07C"/>
    <w:rsid w:val="30792A5C"/>
    <w:rsid w:val="30E12562"/>
    <w:rsid w:val="311A1DC2"/>
    <w:rsid w:val="31321328"/>
    <w:rsid w:val="31572824"/>
    <w:rsid w:val="3163566D"/>
    <w:rsid w:val="316F2A5D"/>
    <w:rsid w:val="31800451"/>
    <w:rsid w:val="31A97165"/>
    <w:rsid w:val="31B04620"/>
    <w:rsid w:val="3214EB69"/>
    <w:rsid w:val="32893F1D"/>
    <w:rsid w:val="3291C551"/>
    <w:rsid w:val="32BEFB35"/>
    <w:rsid w:val="32D3B602"/>
    <w:rsid w:val="32D77FBB"/>
    <w:rsid w:val="32E23A8B"/>
    <w:rsid w:val="32FE0A2B"/>
    <w:rsid w:val="3314EEE9"/>
    <w:rsid w:val="331C1F78"/>
    <w:rsid w:val="331C6652"/>
    <w:rsid w:val="33687957"/>
    <w:rsid w:val="33801353"/>
    <w:rsid w:val="33A5F371"/>
    <w:rsid w:val="33A61841"/>
    <w:rsid w:val="33A85951"/>
    <w:rsid w:val="33C3163A"/>
    <w:rsid w:val="33C7A46F"/>
    <w:rsid w:val="33D758B2"/>
    <w:rsid w:val="33E16D1D"/>
    <w:rsid w:val="340D7B12"/>
    <w:rsid w:val="34174EA4"/>
    <w:rsid w:val="344057F2"/>
    <w:rsid w:val="34B448A8"/>
    <w:rsid w:val="34BDA56C"/>
    <w:rsid w:val="34D17727"/>
    <w:rsid w:val="34F09F70"/>
    <w:rsid w:val="34F5B75A"/>
    <w:rsid w:val="34F7344A"/>
    <w:rsid w:val="3545C55B"/>
    <w:rsid w:val="3614A14D"/>
    <w:rsid w:val="363D37E7"/>
    <w:rsid w:val="365EABA5"/>
    <w:rsid w:val="36873BAC"/>
    <w:rsid w:val="36987B67"/>
    <w:rsid w:val="369D61A0"/>
    <w:rsid w:val="37117919"/>
    <w:rsid w:val="372907BF"/>
    <w:rsid w:val="37A5D59C"/>
    <w:rsid w:val="37AF6405"/>
    <w:rsid w:val="37B1ED64"/>
    <w:rsid w:val="37F45C58"/>
    <w:rsid w:val="37FFE643"/>
    <w:rsid w:val="38020F4A"/>
    <w:rsid w:val="382896AF"/>
    <w:rsid w:val="383EB10D"/>
    <w:rsid w:val="385C2081"/>
    <w:rsid w:val="38CA8BA0"/>
    <w:rsid w:val="38D92552"/>
    <w:rsid w:val="399CA544"/>
    <w:rsid w:val="3A241712"/>
    <w:rsid w:val="3A643167"/>
    <w:rsid w:val="3A7FFEAD"/>
    <w:rsid w:val="3A816B64"/>
    <w:rsid w:val="3A9DC011"/>
    <w:rsid w:val="3ABD5DEE"/>
    <w:rsid w:val="3AEF8848"/>
    <w:rsid w:val="3B331C0C"/>
    <w:rsid w:val="3C223163"/>
    <w:rsid w:val="3C3976F6"/>
    <w:rsid w:val="3C55FE70"/>
    <w:rsid w:val="3CEAEC56"/>
    <w:rsid w:val="3CED73EB"/>
    <w:rsid w:val="3D033860"/>
    <w:rsid w:val="3D172AF8"/>
    <w:rsid w:val="3D333187"/>
    <w:rsid w:val="3D614C3F"/>
    <w:rsid w:val="3DA9FA0C"/>
    <w:rsid w:val="3DF6B99F"/>
    <w:rsid w:val="3DFF04CC"/>
    <w:rsid w:val="3E665A15"/>
    <w:rsid w:val="3EC37C1C"/>
    <w:rsid w:val="3EC438DD"/>
    <w:rsid w:val="3EDA64DB"/>
    <w:rsid w:val="3F0062A9"/>
    <w:rsid w:val="3F057D64"/>
    <w:rsid w:val="3F075CD6"/>
    <w:rsid w:val="3F464691"/>
    <w:rsid w:val="3F5C6EF0"/>
    <w:rsid w:val="3F7D78FA"/>
    <w:rsid w:val="3F7DC741"/>
    <w:rsid w:val="3F8FB121"/>
    <w:rsid w:val="3FB3A563"/>
    <w:rsid w:val="3FB8909B"/>
    <w:rsid w:val="400B5106"/>
    <w:rsid w:val="40644F5E"/>
    <w:rsid w:val="40714F85"/>
    <w:rsid w:val="408E13E9"/>
    <w:rsid w:val="40E0B56D"/>
    <w:rsid w:val="410434E3"/>
    <w:rsid w:val="41127DA3"/>
    <w:rsid w:val="41432D4D"/>
    <w:rsid w:val="416E5649"/>
    <w:rsid w:val="41881474"/>
    <w:rsid w:val="41B4ADCB"/>
    <w:rsid w:val="42497505"/>
    <w:rsid w:val="42B96188"/>
    <w:rsid w:val="42C46A21"/>
    <w:rsid w:val="42EE5CAD"/>
    <w:rsid w:val="42F500EF"/>
    <w:rsid w:val="42FF9717"/>
    <w:rsid w:val="430516F4"/>
    <w:rsid w:val="43090C99"/>
    <w:rsid w:val="433734D0"/>
    <w:rsid w:val="43789DC5"/>
    <w:rsid w:val="4389F699"/>
    <w:rsid w:val="438D20D6"/>
    <w:rsid w:val="43BE14F3"/>
    <w:rsid w:val="43C9E4D7"/>
    <w:rsid w:val="449B0AC8"/>
    <w:rsid w:val="44C22253"/>
    <w:rsid w:val="44E81CBA"/>
    <w:rsid w:val="45387DBB"/>
    <w:rsid w:val="45780647"/>
    <w:rsid w:val="457CE95F"/>
    <w:rsid w:val="459AF1D8"/>
    <w:rsid w:val="45D76B56"/>
    <w:rsid w:val="4659F588"/>
    <w:rsid w:val="465BAEE2"/>
    <w:rsid w:val="46641F57"/>
    <w:rsid w:val="4664D1FC"/>
    <w:rsid w:val="4667B09B"/>
    <w:rsid w:val="4670D662"/>
    <w:rsid w:val="468EA9A2"/>
    <w:rsid w:val="469E7BE6"/>
    <w:rsid w:val="46DE0983"/>
    <w:rsid w:val="46E776C2"/>
    <w:rsid w:val="4718130E"/>
    <w:rsid w:val="475E3B94"/>
    <w:rsid w:val="4760D8B0"/>
    <w:rsid w:val="4776C22D"/>
    <w:rsid w:val="478101A3"/>
    <w:rsid w:val="478D6B48"/>
    <w:rsid w:val="47CD9BFE"/>
    <w:rsid w:val="48031150"/>
    <w:rsid w:val="4837AEFC"/>
    <w:rsid w:val="48496F13"/>
    <w:rsid w:val="48659B4B"/>
    <w:rsid w:val="486ACA0B"/>
    <w:rsid w:val="48823D02"/>
    <w:rsid w:val="48D0EB01"/>
    <w:rsid w:val="48F12216"/>
    <w:rsid w:val="495FB6C5"/>
    <w:rsid w:val="49E3BAEE"/>
    <w:rsid w:val="49EF3AEA"/>
    <w:rsid w:val="49F55AFD"/>
    <w:rsid w:val="4B157580"/>
    <w:rsid w:val="4B294DDA"/>
    <w:rsid w:val="4B3E2EE2"/>
    <w:rsid w:val="4B6E0A3F"/>
    <w:rsid w:val="4B7B5C1B"/>
    <w:rsid w:val="4BC7EB50"/>
    <w:rsid w:val="4C1F38D0"/>
    <w:rsid w:val="4C39D31D"/>
    <w:rsid w:val="4C39DC41"/>
    <w:rsid w:val="4C6D519A"/>
    <w:rsid w:val="4C8A18A8"/>
    <w:rsid w:val="4CA23096"/>
    <w:rsid w:val="4CD739A2"/>
    <w:rsid w:val="4CF34A59"/>
    <w:rsid w:val="4D3867B3"/>
    <w:rsid w:val="4D4B7289"/>
    <w:rsid w:val="4D4F9915"/>
    <w:rsid w:val="4D7A7203"/>
    <w:rsid w:val="4D8F1B29"/>
    <w:rsid w:val="4DAD5CCE"/>
    <w:rsid w:val="4DC6EDBF"/>
    <w:rsid w:val="4DF653AC"/>
    <w:rsid w:val="4E0EA330"/>
    <w:rsid w:val="4E8F1833"/>
    <w:rsid w:val="4EC0CEC8"/>
    <w:rsid w:val="4ECC1858"/>
    <w:rsid w:val="4F0022F6"/>
    <w:rsid w:val="4F027E1C"/>
    <w:rsid w:val="4F0673CD"/>
    <w:rsid w:val="4F53475D"/>
    <w:rsid w:val="4F844CD5"/>
    <w:rsid w:val="4F92C941"/>
    <w:rsid w:val="4FAB2A22"/>
    <w:rsid w:val="4FDD43E5"/>
    <w:rsid w:val="4FE42295"/>
    <w:rsid w:val="4FFA4F97"/>
    <w:rsid w:val="5011B585"/>
    <w:rsid w:val="507B225C"/>
    <w:rsid w:val="508D7BB9"/>
    <w:rsid w:val="50902607"/>
    <w:rsid w:val="50A373DC"/>
    <w:rsid w:val="50B2F756"/>
    <w:rsid w:val="50CA6717"/>
    <w:rsid w:val="50D8673C"/>
    <w:rsid w:val="50F7B9E4"/>
    <w:rsid w:val="5195E090"/>
    <w:rsid w:val="51AF3003"/>
    <w:rsid w:val="521F9A1D"/>
    <w:rsid w:val="524916AC"/>
    <w:rsid w:val="52D6E996"/>
    <w:rsid w:val="52FEE03C"/>
    <w:rsid w:val="53056D85"/>
    <w:rsid w:val="535C4E7F"/>
    <w:rsid w:val="53B1791B"/>
    <w:rsid w:val="53B32D08"/>
    <w:rsid w:val="53C5012B"/>
    <w:rsid w:val="5409B3C7"/>
    <w:rsid w:val="541069B8"/>
    <w:rsid w:val="5441D9F1"/>
    <w:rsid w:val="544C4768"/>
    <w:rsid w:val="545D5AF4"/>
    <w:rsid w:val="549E1CAF"/>
    <w:rsid w:val="54D72401"/>
    <w:rsid w:val="54EB1352"/>
    <w:rsid w:val="552C19E1"/>
    <w:rsid w:val="55300C8E"/>
    <w:rsid w:val="55761CB4"/>
    <w:rsid w:val="55891C9C"/>
    <w:rsid w:val="558B620A"/>
    <w:rsid w:val="55943A1A"/>
    <w:rsid w:val="55B69146"/>
    <w:rsid w:val="55C986F2"/>
    <w:rsid w:val="55D9857D"/>
    <w:rsid w:val="56177D00"/>
    <w:rsid w:val="561C2060"/>
    <w:rsid w:val="56BF4E49"/>
    <w:rsid w:val="57405985"/>
    <w:rsid w:val="57554542"/>
    <w:rsid w:val="579637F7"/>
    <w:rsid w:val="579C1349"/>
    <w:rsid w:val="57CF077F"/>
    <w:rsid w:val="57DA10A9"/>
    <w:rsid w:val="57F56770"/>
    <w:rsid w:val="582E27EE"/>
    <w:rsid w:val="58425533"/>
    <w:rsid w:val="58813204"/>
    <w:rsid w:val="58C13791"/>
    <w:rsid w:val="58C9DF04"/>
    <w:rsid w:val="591AD592"/>
    <w:rsid w:val="5924BC01"/>
    <w:rsid w:val="595C281E"/>
    <w:rsid w:val="59684D1F"/>
    <w:rsid w:val="5987A165"/>
    <w:rsid w:val="59D616F9"/>
    <w:rsid w:val="59DFD067"/>
    <w:rsid w:val="5A537D1E"/>
    <w:rsid w:val="5A725F77"/>
    <w:rsid w:val="5AD0167F"/>
    <w:rsid w:val="5AE4694D"/>
    <w:rsid w:val="5B14F106"/>
    <w:rsid w:val="5B4F07ED"/>
    <w:rsid w:val="5B6339F0"/>
    <w:rsid w:val="5BA266D5"/>
    <w:rsid w:val="5BA36840"/>
    <w:rsid w:val="5BCE4CB9"/>
    <w:rsid w:val="5C3F445D"/>
    <w:rsid w:val="5C4F885B"/>
    <w:rsid w:val="5C90F1DD"/>
    <w:rsid w:val="5CA86789"/>
    <w:rsid w:val="5CE92976"/>
    <w:rsid w:val="5D731EE5"/>
    <w:rsid w:val="5D8E4E18"/>
    <w:rsid w:val="5D97AFCC"/>
    <w:rsid w:val="5DD79F42"/>
    <w:rsid w:val="5E1AA210"/>
    <w:rsid w:val="5E3B58D0"/>
    <w:rsid w:val="5E4965AE"/>
    <w:rsid w:val="5E600E4A"/>
    <w:rsid w:val="5EB40511"/>
    <w:rsid w:val="5ED05A63"/>
    <w:rsid w:val="5EF66468"/>
    <w:rsid w:val="5F10F09C"/>
    <w:rsid w:val="5F22EE18"/>
    <w:rsid w:val="5F497CA9"/>
    <w:rsid w:val="5F8E3006"/>
    <w:rsid w:val="5FD3EE72"/>
    <w:rsid w:val="5FE2F0E5"/>
    <w:rsid w:val="6003E10F"/>
    <w:rsid w:val="60397415"/>
    <w:rsid w:val="6088EABB"/>
    <w:rsid w:val="60982EBB"/>
    <w:rsid w:val="60AAACD8"/>
    <w:rsid w:val="60C9A08A"/>
    <w:rsid w:val="610B037B"/>
    <w:rsid w:val="611064C9"/>
    <w:rsid w:val="61A532A4"/>
    <w:rsid w:val="61A86601"/>
    <w:rsid w:val="61BC3E5A"/>
    <w:rsid w:val="620F48D2"/>
    <w:rsid w:val="62456545"/>
    <w:rsid w:val="624D56BB"/>
    <w:rsid w:val="62825078"/>
    <w:rsid w:val="62941EAA"/>
    <w:rsid w:val="62E0F9EA"/>
    <w:rsid w:val="630A2B34"/>
    <w:rsid w:val="6315689B"/>
    <w:rsid w:val="6336822A"/>
    <w:rsid w:val="639F078C"/>
    <w:rsid w:val="63A92B04"/>
    <w:rsid w:val="63AA3D03"/>
    <w:rsid w:val="63AB6995"/>
    <w:rsid w:val="63C7B84E"/>
    <w:rsid w:val="640D236B"/>
    <w:rsid w:val="641E6D96"/>
    <w:rsid w:val="64699B53"/>
    <w:rsid w:val="646C8156"/>
    <w:rsid w:val="64A82DBC"/>
    <w:rsid w:val="64BDC615"/>
    <w:rsid w:val="64D4AE20"/>
    <w:rsid w:val="64D7C3D6"/>
    <w:rsid w:val="653C1EC7"/>
    <w:rsid w:val="65468A34"/>
    <w:rsid w:val="6582978A"/>
    <w:rsid w:val="65901886"/>
    <w:rsid w:val="6590579C"/>
    <w:rsid w:val="659C909C"/>
    <w:rsid w:val="65BF0E89"/>
    <w:rsid w:val="65E373FA"/>
    <w:rsid w:val="65E3B5F2"/>
    <w:rsid w:val="662B16EE"/>
    <w:rsid w:val="662B7CE7"/>
    <w:rsid w:val="663743F7"/>
    <w:rsid w:val="66396AB5"/>
    <w:rsid w:val="66B78CDF"/>
    <w:rsid w:val="66CD5922"/>
    <w:rsid w:val="66DC6D4D"/>
    <w:rsid w:val="66F48952"/>
    <w:rsid w:val="672101E2"/>
    <w:rsid w:val="674548F2"/>
    <w:rsid w:val="6751A727"/>
    <w:rsid w:val="6762C558"/>
    <w:rsid w:val="677CBA4F"/>
    <w:rsid w:val="67B8B9B5"/>
    <w:rsid w:val="67BF214C"/>
    <w:rsid w:val="67D01E1C"/>
    <w:rsid w:val="67D08986"/>
    <w:rsid w:val="681AA8BA"/>
    <w:rsid w:val="689F6284"/>
    <w:rsid w:val="68A75577"/>
    <w:rsid w:val="68D0A54D"/>
    <w:rsid w:val="6925089D"/>
    <w:rsid w:val="69962FCE"/>
    <w:rsid w:val="6A164324"/>
    <w:rsid w:val="6A1707C7"/>
    <w:rsid w:val="6A2B45C1"/>
    <w:rsid w:val="6A5D6CA8"/>
    <w:rsid w:val="6A70612A"/>
    <w:rsid w:val="6A9516EC"/>
    <w:rsid w:val="6AAA9485"/>
    <w:rsid w:val="6B49A675"/>
    <w:rsid w:val="6BB848CA"/>
    <w:rsid w:val="6BF8E92E"/>
    <w:rsid w:val="6C260E18"/>
    <w:rsid w:val="6CD42832"/>
    <w:rsid w:val="6D31EF32"/>
    <w:rsid w:val="6D3BD39B"/>
    <w:rsid w:val="6D4ECDA7"/>
    <w:rsid w:val="6DB66BBB"/>
    <w:rsid w:val="6DB8DC69"/>
    <w:rsid w:val="6DBFE5E2"/>
    <w:rsid w:val="6DE24C48"/>
    <w:rsid w:val="6E382BC8"/>
    <w:rsid w:val="6E453429"/>
    <w:rsid w:val="6E883A01"/>
    <w:rsid w:val="6EE12FE3"/>
    <w:rsid w:val="6F0E7CBF"/>
    <w:rsid w:val="6F2E6FF4"/>
    <w:rsid w:val="6F6F361E"/>
    <w:rsid w:val="6F92269E"/>
    <w:rsid w:val="6FEF7AF1"/>
    <w:rsid w:val="7002F905"/>
    <w:rsid w:val="70069C42"/>
    <w:rsid w:val="706F1323"/>
    <w:rsid w:val="7089E194"/>
    <w:rsid w:val="70E441B0"/>
    <w:rsid w:val="71159BCB"/>
    <w:rsid w:val="716C1D64"/>
    <w:rsid w:val="716DE8F0"/>
    <w:rsid w:val="71763A1A"/>
    <w:rsid w:val="71866EFE"/>
    <w:rsid w:val="71D40D4C"/>
    <w:rsid w:val="71F59984"/>
    <w:rsid w:val="7214A937"/>
    <w:rsid w:val="722CCA10"/>
    <w:rsid w:val="723661E2"/>
    <w:rsid w:val="7242215A"/>
    <w:rsid w:val="72577269"/>
    <w:rsid w:val="725AC5DC"/>
    <w:rsid w:val="727367B7"/>
    <w:rsid w:val="72FC57A8"/>
    <w:rsid w:val="72FC71B0"/>
    <w:rsid w:val="7306587D"/>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24539"/>
    <w:rsid w:val="76131653"/>
    <w:rsid w:val="762E19A6"/>
    <w:rsid w:val="76462BE2"/>
    <w:rsid w:val="76654669"/>
    <w:rsid w:val="7681AF25"/>
    <w:rsid w:val="76E230F4"/>
    <w:rsid w:val="76FEC164"/>
    <w:rsid w:val="76FF27F8"/>
    <w:rsid w:val="773B07C7"/>
    <w:rsid w:val="774D6E24"/>
    <w:rsid w:val="77996CC0"/>
    <w:rsid w:val="77C4BD1A"/>
    <w:rsid w:val="783764D9"/>
    <w:rsid w:val="78652655"/>
    <w:rsid w:val="788259A6"/>
    <w:rsid w:val="788EED21"/>
    <w:rsid w:val="78A6EFD5"/>
    <w:rsid w:val="78AD90CA"/>
    <w:rsid w:val="78CFBC31"/>
    <w:rsid w:val="78D458D5"/>
    <w:rsid w:val="78E86FF2"/>
    <w:rsid w:val="78FD502C"/>
    <w:rsid w:val="78FE7B79"/>
    <w:rsid w:val="790C1232"/>
    <w:rsid w:val="79141FFE"/>
    <w:rsid w:val="7979C4D9"/>
    <w:rsid w:val="797C6F1C"/>
    <w:rsid w:val="79853E8A"/>
    <w:rsid w:val="7988FCDB"/>
    <w:rsid w:val="79B40A9D"/>
    <w:rsid w:val="79B967DF"/>
    <w:rsid w:val="79CDEE57"/>
    <w:rsid w:val="7A318D99"/>
    <w:rsid w:val="7A60E508"/>
    <w:rsid w:val="7A9BED0F"/>
    <w:rsid w:val="7B29BE38"/>
    <w:rsid w:val="7B415255"/>
    <w:rsid w:val="7B734558"/>
    <w:rsid w:val="7B77F165"/>
    <w:rsid w:val="7BAA092E"/>
    <w:rsid w:val="7BB9E510"/>
    <w:rsid w:val="7BCA6F39"/>
    <w:rsid w:val="7BE40725"/>
    <w:rsid w:val="7BFF2E69"/>
    <w:rsid w:val="7C38C02B"/>
    <w:rsid w:val="7CA3413D"/>
    <w:rsid w:val="7CD4B096"/>
    <w:rsid w:val="7D2A6F19"/>
    <w:rsid w:val="7D2F7ECF"/>
    <w:rsid w:val="7D4247CA"/>
    <w:rsid w:val="7D8705EA"/>
    <w:rsid w:val="7E302BAB"/>
    <w:rsid w:val="7E503E50"/>
    <w:rsid w:val="7E7EC4E6"/>
    <w:rsid w:val="7EC4C3B7"/>
    <w:rsid w:val="7ECEF2B5"/>
    <w:rsid w:val="7F868BB6"/>
    <w:rsid w:val="7F8C2A13"/>
    <w:rsid w:val="7F914720"/>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1"/>
    <w:next w:val="1"/>
    <w:link w:val="84"/>
    <w:autoRedefine/>
    <w:unhideWhenUsed/>
    <w:qFormat/>
    <w:uiPriority w:val="9"/>
    <w:pPr>
      <w:keepNext/>
      <w:keepLines/>
      <w:numPr>
        <w:ilvl w:val="1"/>
        <w:numId w:val="1"/>
      </w:numPr>
      <w:spacing w:before="240" w:after="120" w:afterLines="50"/>
      <w:jc w:val="both"/>
      <w:outlineLvl w:val="1"/>
    </w:pPr>
    <w:rPr>
      <w:rFonts w:ascii="Times New Roman" w:hAnsi="Times New Roman" w:cs="Times New Roman"/>
      <w:b/>
      <w:bCs/>
      <w:lang w:val="en-GB" w:eastAsia="zh-CN"/>
    </w:rPr>
  </w:style>
  <w:style w:type="paragraph" w:styleId="5">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unhideWhenUsed/>
    <w:qFormat/>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autoRedefine/>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34"/>
    <w:semiHidden/>
    <w:unhideWhenUsed/>
    <w:qFormat/>
    <w:uiPriority w:val="99"/>
    <w:pPr>
      <w:ind w:left="100" w:leftChars="200" w:hanging="200" w:hangingChars="200"/>
      <w:contextualSpacing/>
    </w:pPr>
  </w:style>
  <w:style w:type="paragraph" w:styleId="34">
    <w:name w:val="List"/>
    <w:basedOn w:val="1"/>
    <w:semiHidden/>
    <w:unhideWhenUsed/>
    <w:qFormat/>
    <w:uiPriority w:val="99"/>
    <w:pPr>
      <w:ind w:left="200" w:hanging="200" w:hangingChars="200"/>
      <w:contextualSpacing/>
    </w:pPr>
  </w:style>
  <w:style w:type="paragraph" w:styleId="35">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6">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7">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8">
    <w:name w:val="toc 5"/>
    <w:basedOn w:val="1"/>
    <w:next w:val="39"/>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9">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40">
    <w:name w:val="toc 3"/>
    <w:basedOn w:val="1"/>
    <w:next w:val="41"/>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1">
    <w:name w:val="toc 4"/>
    <w:basedOn w:val="1"/>
    <w:next w:val="38"/>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2">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4">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5">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6">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7">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8">
    <w:name w:val="Balloon Text"/>
    <w:basedOn w:val="1"/>
    <w:link w:val="98"/>
    <w:unhideWhenUsed/>
    <w:qFormat/>
    <w:uiPriority w:val="0"/>
    <w:pPr>
      <w:spacing w:after="0" w:line="240" w:lineRule="auto"/>
    </w:pPr>
    <w:rPr>
      <w:sz w:val="18"/>
      <w:szCs w:val="18"/>
    </w:rPr>
  </w:style>
  <w:style w:type="paragraph" w:styleId="49">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50">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1">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2">
    <w:name w:val="toc 1"/>
    <w:basedOn w:val="1"/>
    <w:next w:val="53"/>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3">
    <w:name w:val="toc 2"/>
    <w:basedOn w:val="1"/>
    <w:next w:val="40"/>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4">
    <w:name w:val="index heading"/>
    <w:basedOn w:val="1"/>
    <w:next w:val="55"/>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5">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6">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7">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autoRedefine/>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autoRedefine/>
    <w:qFormat/>
    <w:uiPriority w:val="34"/>
    <w:pPr>
      <w:numPr>
        <w:ilvl w:val="0"/>
        <w:numId w:val="12"/>
      </w:numPr>
      <w:contextualSpacing/>
      <w:jc w:val="both"/>
    </w:pPr>
    <w:rPr>
      <w:rFonts w:ascii="Times New Roman" w:hAnsi="Times New Roman" w:cs="Times New Roman"/>
      <w:b/>
      <w:bCs/>
      <w:i/>
      <w:iCs/>
      <w:lang w:eastAsia="zh-CN"/>
    </w:rPr>
  </w:style>
  <w:style w:type="character" w:customStyle="1" w:styleId="84">
    <w:name w:val="标题 2 字符"/>
    <w:basedOn w:val="71"/>
    <w:link w:val="4"/>
    <w:qFormat/>
    <w:uiPriority w:val="9"/>
    <w:rPr>
      <w:rFonts w:eastAsiaTheme="minorEastAsia"/>
      <w:b/>
      <w:bCs/>
      <w:sz w:val="22"/>
      <w:szCs w:val="22"/>
      <w:lang w:val="en-GB"/>
    </w:rPr>
  </w:style>
  <w:style w:type="character" w:customStyle="1" w:styleId="85">
    <w:name w:val="@他1"/>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50"/>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34"/>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8"/>
    <w:qFormat/>
    <w:uiPriority w:val="0"/>
    <w:rPr>
      <w:sz w:val="18"/>
      <w:szCs w:val="18"/>
    </w:rPr>
  </w:style>
  <w:style w:type="character" w:customStyle="1" w:styleId="99">
    <w:name w:val="页脚 字符"/>
    <w:basedOn w:val="71"/>
    <w:link w:val="49"/>
    <w:qFormat/>
    <w:uiPriority w:val="99"/>
    <w:rPr>
      <w:sz w:val="18"/>
      <w:szCs w:val="18"/>
    </w:rPr>
  </w:style>
  <w:style w:type="character" w:customStyle="1" w:styleId="100">
    <w:name w:val="列表段落 字符"/>
    <w:link w:val="83"/>
    <w:qFormat/>
    <w:locked/>
    <w:uiPriority w:val="34"/>
    <w:rPr>
      <w:rFonts w:eastAsiaTheme="minorEastAsia"/>
      <w:b/>
      <w:bCs/>
      <w:i/>
      <w:iCs/>
      <w:sz w:val="22"/>
      <w:szCs w:val="22"/>
    </w:rPr>
  </w:style>
  <w:style w:type="paragraph" w:customStyle="1" w:styleId="101">
    <w:name w:val="Proposal"/>
    <w:basedOn w:val="1"/>
    <w:qFormat/>
    <w:uiPriority w:val="0"/>
    <w:pPr>
      <w:numPr>
        <w:ilvl w:val="0"/>
        <w:numId w:val="13"/>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autoRedefine/>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autoRedefine/>
    <w:qFormat/>
    <w:uiPriority w:val="0"/>
    <w:rPr>
      <w:rFonts w:ascii="Times New Roman" w:hAnsi="Times New Roman" w:eastAsia="Arial" w:cs="Times New Roman"/>
      <w:sz w:val="18"/>
      <w:szCs w:val="20"/>
      <w:lang w:val="en-GB" w:eastAsia="zh-CN"/>
    </w:rPr>
  </w:style>
  <w:style w:type="character" w:customStyle="1" w:styleId="120">
    <w:name w:val="正文文本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文本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6"/>
    <w:autoRedefine/>
    <w:qFormat/>
    <w:uiPriority w:val="0"/>
    <w:rPr>
      <w:rFonts w:ascii="Times New Roman" w:hAnsi="Times New Roman" w:eastAsia="Arial" w:cs="Times New Roman"/>
      <w:sz w:val="18"/>
      <w:szCs w:val="20"/>
      <w:lang w:val="en-GB" w:eastAsia="zh-CN"/>
    </w:rPr>
  </w:style>
  <w:style w:type="paragraph" w:customStyle="1" w:styleId="124">
    <w:name w:val="Bullets"/>
    <w:basedOn w:val="1"/>
    <w:autoRedefine/>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5"/>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1"/>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6"/>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7"/>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4"/>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5"/>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6"/>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1"/>
    <w:qFormat/>
    <w:uiPriority w:val="0"/>
    <w:rPr>
      <w:b/>
    </w:rPr>
  </w:style>
  <w:style w:type="paragraph" w:customStyle="1" w:styleId="158">
    <w:name w:val="TAC"/>
    <w:basedOn w:val="159"/>
    <w:link w:val="160"/>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paragraph" w:customStyle="1" w:styleId="159">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0">
    <w:name w:val="TAC Char"/>
    <w:link w:val="158"/>
    <w:qFormat/>
    <w:locked/>
    <w:uiPriority w:val="0"/>
    <w:rPr>
      <w:rFonts w:ascii="Arial" w:hAnsi="Arial" w:cs="Times New Roman"/>
      <w:sz w:val="18"/>
      <w:szCs w:val="20"/>
      <w:lang w:val="en-GB"/>
    </w:rPr>
  </w:style>
  <w:style w:type="character" w:customStyle="1" w:styleId="161">
    <w:name w:val="TAH Car"/>
    <w:link w:val="157"/>
    <w:qFormat/>
    <w:locked/>
    <w:uiPriority w:val="0"/>
    <w:rPr>
      <w:rFonts w:ascii="Arial" w:hAnsi="Arial" w:cs="Times New Roman"/>
      <w:b/>
      <w:sz w:val="18"/>
      <w:szCs w:val="20"/>
      <w:lang w:val="en-GB"/>
    </w:rPr>
  </w:style>
  <w:style w:type="character" w:customStyle="1" w:styleId="162">
    <w:name w:val="访问过的超链接1"/>
    <w:basedOn w:val="71"/>
    <w:semiHidden/>
    <w:unhideWhenUsed/>
    <w:qFormat/>
    <w:uiPriority w:val="0"/>
    <w:rPr>
      <w:color w:val="954F72"/>
      <w:u w:val="single"/>
    </w:rPr>
  </w:style>
  <w:style w:type="character" w:styleId="163">
    <w:name w:val="Placeholder Text"/>
    <w:basedOn w:val="71"/>
    <w:semiHidden/>
    <w:qFormat/>
    <w:uiPriority w:val="99"/>
    <w:rPr>
      <w:color w:val="808080"/>
    </w:rPr>
  </w:style>
  <w:style w:type="table" w:customStyle="1" w:styleId="164">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5">
    <w:name w:val="fontstyle31"/>
    <w:basedOn w:val="71"/>
    <w:qFormat/>
    <w:uiPriority w:val="0"/>
    <w:rPr>
      <w:rFonts w:hint="default" w:ascii="TimesNewRomanPSMT" w:hAnsi="TimesNewRomanPSMT"/>
      <w:color w:val="000000"/>
      <w:sz w:val="54"/>
      <w:szCs w:val="54"/>
    </w:rPr>
  </w:style>
  <w:style w:type="paragraph" w:customStyle="1" w:styleId="166">
    <w:name w:val="TAN"/>
    <w:basedOn w:val="1"/>
    <w:link w:val="167"/>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7">
    <w:name w:val="TAN Char"/>
    <w:link w:val="166"/>
    <w:qFormat/>
    <w:uiPriority w:val="0"/>
    <w:rPr>
      <w:rFonts w:ascii="Arial" w:hAnsi="Arial" w:eastAsia="Arial" w:cs="Times New Roman"/>
      <w:sz w:val="18"/>
      <w:szCs w:val="20"/>
      <w:lang w:val="en-GB"/>
    </w:rPr>
  </w:style>
  <w:style w:type="character" w:customStyle="1" w:styleId="168">
    <w:name w:val="number2"/>
    <w:basedOn w:val="71"/>
    <w:qFormat/>
    <w:uiPriority w:val="0"/>
  </w:style>
  <w:style w:type="character" w:customStyle="1" w:styleId="169">
    <w:name w:val="TAL Car"/>
    <w:link w:val="159"/>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character" w:customStyle="1" w:styleId="185">
    <w:name w:val="列出段落 字符1"/>
    <w:autoRedefine/>
    <w:qFormat/>
    <w:locked/>
    <w:uiPriority w:val="34"/>
  </w:style>
  <w:style w:type="paragraph" w:customStyle="1" w:styleId="186">
    <w:name w:val="TF"/>
    <w:basedOn w:val="149"/>
    <w:qFormat/>
    <w:uiPriority w:val="0"/>
    <w:pPr>
      <w:keepNext w:val="0"/>
      <w:spacing w:before="0" w:after="240"/>
    </w:pPr>
  </w:style>
  <w:style w:type="paragraph" w:customStyle="1" w:styleId="187">
    <w:name w:val="Observation"/>
    <w:basedOn w:val="1"/>
    <w:qFormat/>
    <w:uiPriority w:val="0"/>
    <w:pPr>
      <w:tabs>
        <w:tab w:val="left" w:pos="1701"/>
      </w:tabs>
      <w:ind w:left="1701" w:hanging="1701"/>
    </w:pPr>
    <w:rPr>
      <w:i/>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2908AD-8FEE-4AE6-94F6-C979F117B291}">
  <ds:schemaRefs/>
</ds:datastoreItem>
</file>

<file path=customXml/itemProps2.xml><?xml version="1.0" encoding="utf-8"?>
<ds:datastoreItem xmlns:ds="http://schemas.openxmlformats.org/officeDocument/2006/customXml" ds:itemID="{04B6204E-FF36-4020-B51B-B13A2E570E76}">
  <ds:schemaRefs/>
</ds:datastoreItem>
</file>

<file path=customXml/itemProps3.xml><?xml version="1.0" encoding="utf-8"?>
<ds:datastoreItem xmlns:ds="http://schemas.openxmlformats.org/officeDocument/2006/customXml" ds:itemID="{EC3856BB-FA30-4221-A957-89C7D07F3980}">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3</Pages>
  <Words>1116</Words>
  <Characters>6010</Characters>
  <Lines>106</Lines>
  <Paragraphs>29</Paragraphs>
  <TotalTime>80</TotalTime>
  <ScaleCrop>false</ScaleCrop>
  <LinksUpToDate>false</LinksUpToDate>
  <CharactersWithSpaces>7232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漫步者</cp:lastModifiedBy>
  <dcterms:modified xsi:type="dcterms:W3CDTF">2025-03-28T07:41:40Z</dcterms:modified>
  <cp:revision>798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2052-12.1.0.20305</vt:lpwstr>
  </property>
  <property fmtid="{D5CDD505-2E9C-101B-9397-08002B2CF9AE}" pid="10" name="ICV">
    <vt:lpwstr>CAFFA6700A1345549F011218CA37ED28_12</vt:lpwstr>
  </property>
  <property fmtid="{D5CDD505-2E9C-101B-9397-08002B2CF9AE}" pid="11" name="GrammarlyDocumentId">
    <vt:lpwstr>7b6f4d14fcc3576e24e11de7aa2ec5989492244b0ec4e6d6ccd5dbf810d0dd51</vt:lpwstr>
  </property>
  <property fmtid="{D5CDD505-2E9C-101B-9397-08002B2CF9AE}" pid="12" name="KSOTemplateDocerSaveRecord">
    <vt:lpwstr>eyJoZGlkIjoiYmViNjQ3Mzc2ZmZiNzdmYjJkMjNiYzBiYmNlOGQyZDUiLCJ1c2VySWQiOiIxMTIwOTc2NzA3In0=</vt:lpwstr>
  </property>
</Properties>
</file>